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F28D" w14:textId="07A42296" w:rsidR="004D3960" w:rsidRDefault="00143D94" w:rsidP="00130661">
      <w:pPr>
        <w:pStyle w:val="Heading1"/>
        <w:rPr>
          <w:sz w:val="48"/>
          <w:szCs w:val="48"/>
        </w:rPr>
      </w:pPr>
      <w:r w:rsidRPr="00143D94">
        <w:rPr>
          <w:sz w:val="48"/>
          <w:szCs w:val="48"/>
        </w:rPr>
        <w:t>Perspective Financial Group</w:t>
      </w:r>
      <w:r>
        <w:rPr>
          <w:sz w:val="48"/>
          <w:szCs w:val="48"/>
        </w:rPr>
        <w:t xml:space="preserve"> </w:t>
      </w:r>
      <w:r w:rsidR="004D3960" w:rsidRPr="00C24DAE">
        <w:rPr>
          <w:color w:val="70655D" w:themeColor="text1"/>
          <w:sz w:val="48"/>
          <w:szCs w:val="48"/>
        </w:rPr>
        <w:t>s</w:t>
      </w:r>
      <w:r w:rsidR="004D1281" w:rsidRPr="00C24DAE">
        <w:rPr>
          <w:color w:val="70655D" w:themeColor="text1"/>
          <w:sz w:val="48"/>
          <w:szCs w:val="48"/>
        </w:rPr>
        <w:t xml:space="preserve">uitability document </w:t>
      </w:r>
    </w:p>
    <w:p w14:paraId="38A9D58D" w14:textId="3A7AD024" w:rsidR="00AD00DA" w:rsidRPr="00C24DAE" w:rsidRDefault="00812022" w:rsidP="004D3960">
      <w:pPr>
        <w:pStyle w:val="Heading1"/>
        <w:rPr>
          <w:color w:val="70655D" w:themeColor="text1"/>
          <w:sz w:val="22"/>
          <w:szCs w:val="22"/>
        </w:rPr>
      </w:pPr>
      <w:r w:rsidRPr="00C24DAE">
        <w:rPr>
          <w:color w:val="70655D" w:themeColor="text1"/>
          <w:sz w:val="22"/>
          <w:szCs w:val="22"/>
        </w:rPr>
        <w:t>Re</w:t>
      </w:r>
      <w:r w:rsidR="000805D6">
        <w:rPr>
          <w:color w:val="70655D" w:themeColor="text1"/>
          <w:sz w:val="22"/>
          <w:szCs w:val="22"/>
        </w:rPr>
        <w:t>duction in platform charge</w:t>
      </w:r>
      <w:r w:rsidRPr="00C24DAE">
        <w:rPr>
          <w:color w:val="70655D" w:themeColor="text1"/>
          <w:sz w:val="22"/>
          <w:szCs w:val="22"/>
        </w:rPr>
        <w:t xml:space="preserve"> for your c</w:t>
      </w:r>
      <w:r w:rsidR="004D1281" w:rsidRPr="00C24DAE">
        <w:rPr>
          <w:color w:val="70655D" w:themeColor="text1"/>
          <w:sz w:val="22"/>
          <w:szCs w:val="22"/>
        </w:rPr>
        <w:t>lient</w:t>
      </w:r>
      <w:r w:rsidRPr="00C24DAE">
        <w:rPr>
          <w:color w:val="70655D" w:themeColor="text1"/>
          <w:sz w:val="22"/>
          <w:szCs w:val="22"/>
        </w:rPr>
        <w:t xml:space="preserve">s </w:t>
      </w:r>
    </w:p>
    <w:p w14:paraId="66726341" w14:textId="71FDBD55" w:rsidR="004D1281" w:rsidRPr="004D1281" w:rsidRDefault="00ED780C" w:rsidP="004D1281">
      <w:pPr>
        <w:pStyle w:val="BodyText"/>
      </w:pPr>
      <w:r>
        <w:t xml:space="preserve">We’ve put together this information which you may choose to share with your clients, to </w:t>
      </w:r>
      <w:r w:rsidR="00783B3F">
        <w:t xml:space="preserve">help explain our special pricing deal. Before </w:t>
      </w:r>
      <w:r w:rsidR="004030ED">
        <w:t xml:space="preserve">you use any of this wording you should </w:t>
      </w:r>
      <w:r w:rsidR="004D1281" w:rsidRPr="004D1281">
        <w:t xml:space="preserve">make sure </w:t>
      </w:r>
      <w:r w:rsidR="00736691">
        <w:t xml:space="preserve">that </w:t>
      </w:r>
      <w:r w:rsidR="004D1281" w:rsidRPr="004D1281">
        <w:t>the content meets your own regulatory requirements. We can</w:t>
      </w:r>
      <w:r w:rsidR="00736691">
        <w:t>’t</w:t>
      </w:r>
      <w:r w:rsidR="004D1281" w:rsidRPr="004D1281">
        <w:t xml:space="preserve"> accept liability for any consequences </w:t>
      </w:r>
      <w:r w:rsidR="004509B4">
        <w:t xml:space="preserve">that </w:t>
      </w:r>
      <w:r w:rsidR="008D00CD">
        <w:t xml:space="preserve">may </w:t>
      </w:r>
      <w:r w:rsidR="004509B4">
        <w:t xml:space="preserve">arise as a result of </w:t>
      </w:r>
      <w:r w:rsidR="004D1281" w:rsidRPr="004D1281">
        <w:t>us</w:t>
      </w:r>
      <w:r w:rsidR="008D00CD">
        <w:t xml:space="preserve">ing this content. </w:t>
      </w:r>
    </w:p>
    <w:p w14:paraId="4D569712" w14:textId="77777777" w:rsidR="004D1281" w:rsidRPr="00C24DAE" w:rsidRDefault="004D1281" w:rsidP="00CD1DB6">
      <w:pPr>
        <w:pStyle w:val="Heading1"/>
        <w:rPr>
          <w:color w:val="70655D" w:themeColor="text1"/>
          <w:sz w:val="22"/>
          <w:szCs w:val="22"/>
        </w:rPr>
      </w:pPr>
      <w:r w:rsidRPr="00C24DAE">
        <w:rPr>
          <w:color w:val="70655D" w:themeColor="text1"/>
          <w:sz w:val="22"/>
          <w:szCs w:val="22"/>
        </w:rPr>
        <w:t>Suitability wording</w:t>
      </w:r>
    </w:p>
    <w:p w14:paraId="0DEE5AF2" w14:textId="77777777" w:rsidR="004D1281" w:rsidRPr="00C24DAE" w:rsidRDefault="004D1281" w:rsidP="00CD1DB6">
      <w:pPr>
        <w:pStyle w:val="Heading2"/>
        <w:rPr>
          <w:color w:val="70655D" w:themeColor="text1"/>
        </w:rPr>
      </w:pPr>
      <w:r w:rsidRPr="00C24DAE">
        <w:rPr>
          <w:color w:val="70655D" w:themeColor="text1"/>
        </w:rPr>
        <w:t>What are the standard platform charges?</w:t>
      </w:r>
    </w:p>
    <w:p w14:paraId="0C239B62" w14:textId="4FA72E50" w:rsidR="004D1281" w:rsidRPr="004D1281" w:rsidRDefault="004D1281" w:rsidP="004D1281">
      <w:pPr>
        <w:pStyle w:val="BodyText"/>
      </w:pPr>
      <w:r w:rsidRPr="004D1281">
        <w:t xml:space="preserve">As a key user of Nucleus wrap, </w:t>
      </w:r>
      <w:r w:rsidR="006048F5" w:rsidRPr="006048F5">
        <w:t>Perspective Financial Group</w:t>
      </w:r>
      <w:r w:rsidR="006048F5">
        <w:t xml:space="preserve"> </w:t>
      </w:r>
      <w:r w:rsidRPr="004D1281">
        <w:t xml:space="preserve">has negotiated preferential terms for </w:t>
      </w:r>
      <w:r w:rsidR="00460E28">
        <w:t xml:space="preserve">its </w:t>
      </w:r>
      <w:r w:rsidRPr="004D1281">
        <w:t xml:space="preserve">clients. The platform charging structure is designed to be transparent </w:t>
      </w:r>
      <w:r w:rsidRPr="00EF5B37">
        <w:t xml:space="preserve">and simple to understand. Charges are applied in tiers depending on the level of your assets*. </w:t>
      </w:r>
      <w:r w:rsidR="00CD1DB6" w:rsidRPr="00EF5B37">
        <w:t xml:space="preserve">The special terms we’ve negotiated mean </w:t>
      </w:r>
      <w:r w:rsidR="00001B25" w:rsidRPr="00EF5B37">
        <w:t xml:space="preserve">that </w:t>
      </w:r>
      <w:r w:rsidR="00CD1DB6" w:rsidRPr="00EF5B37">
        <w:t xml:space="preserve">a </w:t>
      </w:r>
      <w:r w:rsidR="000805D6" w:rsidRPr="00EF5B37">
        <w:t>reduction in platform charge</w:t>
      </w:r>
      <w:r w:rsidR="00CD1DB6">
        <w:t xml:space="preserve"> will be </w:t>
      </w:r>
      <w:r w:rsidR="00D54782">
        <w:t xml:space="preserve">given </w:t>
      </w:r>
      <w:r w:rsidR="00CD1DB6">
        <w:t>for investments</w:t>
      </w:r>
      <w:r w:rsidR="000805D6">
        <w:t>,</w:t>
      </w:r>
      <w:r w:rsidR="00CD1DB6">
        <w:t xml:space="preserve"> </w:t>
      </w:r>
      <w:r w:rsidR="00DB590D">
        <w:t>depending on the</w:t>
      </w:r>
      <w:r w:rsidR="00CD1DB6">
        <w:t xml:space="preserve"> product wrapper. The r</w:t>
      </w:r>
      <w:r w:rsidR="000805D6">
        <w:t xml:space="preserve">eduction in platform charges </w:t>
      </w:r>
      <w:r w:rsidR="00184AB7">
        <w:t xml:space="preserve">are as follows: </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6379"/>
      </w:tblGrid>
      <w:tr w:rsidR="004D1281" w14:paraId="53E314A3" w14:textId="77777777" w:rsidTr="004D1281">
        <w:trPr>
          <w:trHeight w:val="345"/>
        </w:trPr>
        <w:tc>
          <w:tcPr>
            <w:tcW w:w="1838" w:type="dxa"/>
          </w:tcPr>
          <w:p w14:paraId="4D0CAB2F" w14:textId="77777777" w:rsidR="004D1281" w:rsidRPr="00EF5B37" w:rsidRDefault="004D1281" w:rsidP="00046549">
            <w:pPr>
              <w:pStyle w:val="TableParagraph"/>
              <w:rPr>
                <w:rFonts w:ascii="VAG Rounded Std Light" w:hAnsi="VAG Rounded Std Light"/>
                <w:color w:val="70655D" w:themeColor="text1"/>
                <w:sz w:val="18"/>
              </w:rPr>
            </w:pPr>
            <w:r w:rsidRPr="00EF5B37">
              <w:rPr>
                <w:rFonts w:ascii="VAG Rounded Std Light" w:hAnsi="VAG Rounded Std Light"/>
                <w:color w:val="70655D" w:themeColor="text1"/>
                <w:sz w:val="18"/>
              </w:rPr>
              <w:t>Wrapper</w:t>
            </w:r>
          </w:p>
        </w:tc>
        <w:tc>
          <w:tcPr>
            <w:tcW w:w="6379" w:type="dxa"/>
          </w:tcPr>
          <w:p w14:paraId="7A1006D5" w14:textId="77777777" w:rsidR="004D1281" w:rsidRPr="00EF5B37" w:rsidRDefault="004D1281" w:rsidP="00046549">
            <w:pPr>
              <w:pStyle w:val="TableParagraph"/>
              <w:rPr>
                <w:rFonts w:ascii="VAG Rounded Std Light" w:hAnsi="VAG Rounded Std Light"/>
                <w:color w:val="70655D" w:themeColor="text1"/>
                <w:sz w:val="18"/>
              </w:rPr>
            </w:pPr>
            <w:r w:rsidRPr="00EF5B37">
              <w:rPr>
                <w:rFonts w:ascii="VAG Rounded Std Light" w:hAnsi="VAG Rounded Std Light"/>
                <w:color w:val="70655D" w:themeColor="text1"/>
                <w:sz w:val="18"/>
              </w:rPr>
              <w:t>Special terms</w:t>
            </w:r>
          </w:p>
        </w:tc>
      </w:tr>
      <w:tr w:rsidR="004D1281" w14:paraId="3EFBEE44" w14:textId="77777777" w:rsidTr="004D1281">
        <w:trPr>
          <w:trHeight w:val="847"/>
        </w:trPr>
        <w:tc>
          <w:tcPr>
            <w:tcW w:w="1838" w:type="dxa"/>
          </w:tcPr>
          <w:p w14:paraId="499B8369" w14:textId="77777777" w:rsidR="004D1281" w:rsidRPr="00EF5B37" w:rsidRDefault="004D1281" w:rsidP="00046549">
            <w:pPr>
              <w:pStyle w:val="TableParagraph"/>
              <w:rPr>
                <w:rFonts w:ascii="VAG Rounded Std Thin" w:hAnsi="VAG Rounded Std Thin"/>
                <w:sz w:val="18"/>
              </w:rPr>
            </w:pPr>
            <w:r w:rsidRPr="00EF5B37">
              <w:rPr>
                <w:rFonts w:ascii="VAG Rounded Std Thin" w:hAnsi="VAG Rounded Std Thin"/>
                <w:sz w:val="18"/>
              </w:rPr>
              <w:t>General</w:t>
            </w:r>
          </w:p>
        </w:tc>
        <w:tc>
          <w:tcPr>
            <w:tcW w:w="6379" w:type="dxa"/>
          </w:tcPr>
          <w:p w14:paraId="6E0D36F2" w14:textId="2DF8785C" w:rsidR="004D1281" w:rsidRPr="00C113E7" w:rsidRDefault="004D1281" w:rsidP="00046549">
            <w:pPr>
              <w:pStyle w:val="TableParagraph"/>
              <w:rPr>
                <w:rFonts w:ascii="VAG Rounded Std Thin" w:hAnsi="VAG Rounded Std Thin"/>
                <w:sz w:val="18"/>
              </w:rPr>
            </w:pPr>
            <w:r w:rsidRPr="00C113E7">
              <w:rPr>
                <w:rFonts w:ascii="VAG Rounded Std Thin" w:hAnsi="VAG Rounded Std Thin"/>
                <w:sz w:val="18"/>
              </w:rPr>
              <w:t xml:space="preserve">Platform fee is reduced to </w:t>
            </w:r>
            <w:r w:rsidR="0024466F" w:rsidRPr="00C113E7">
              <w:rPr>
                <w:rFonts w:ascii="VAG Rounded Std Thin" w:hAnsi="VAG Rounded Std Thin"/>
                <w:sz w:val="18"/>
              </w:rPr>
              <w:t>0.15</w:t>
            </w:r>
            <w:r w:rsidRPr="00C113E7">
              <w:rPr>
                <w:rFonts w:ascii="VAG Rounded Std Thin" w:hAnsi="VAG Rounded Std Thin"/>
                <w:sz w:val="18"/>
              </w:rPr>
              <w:t>% per annum on portfolio values between £0 to</w:t>
            </w:r>
          </w:p>
          <w:p w14:paraId="35774C4E" w14:textId="5F2E1FBD" w:rsidR="004D1281" w:rsidRPr="00C113E7" w:rsidRDefault="00103F3F" w:rsidP="00046549">
            <w:pPr>
              <w:pStyle w:val="TableParagraph"/>
              <w:spacing w:before="48" w:line="240" w:lineRule="auto"/>
              <w:rPr>
                <w:rFonts w:ascii="VAG Rounded Std Thin" w:hAnsi="VAG Rounded Std Thin"/>
                <w:sz w:val="18"/>
              </w:rPr>
            </w:pPr>
            <w:r w:rsidRPr="00C113E7">
              <w:rPr>
                <w:rFonts w:ascii="VAG Rounded Std Thin" w:hAnsi="VAG Rounded Std Thin"/>
                <w:sz w:val="18"/>
              </w:rPr>
              <w:t xml:space="preserve">£1,000,000.00 </w:t>
            </w:r>
            <w:r w:rsidR="004D1281" w:rsidRPr="00C113E7">
              <w:rPr>
                <w:rFonts w:ascii="VAG Rounded Std Thin" w:hAnsi="VAG Rounded Std Thin"/>
                <w:sz w:val="18"/>
              </w:rPr>
              <w:t>with standard charging applying thereafter.</w:t>
            </w:r>
          </w:p>
          <w:p w14:paraId="0C01E006" w14:textId="4AE59CEC" w:rsidR="006B121F" w:rsidRPr="00C113E7" w:rsidRDefault="006B121F" w:rsidP="006B121F">
            <w:pPr>
              <w:pStyle w:val="TableParagraph"/>
              <w:spacing w:before="48" w:line="240" w:lineRule="auto"/>
              <w:rPr>
                <w:rFonts w:ascii="VAG Rounded Std Thin" w:hAnsi="VAG Rounded Std Thin"/>
                <w:sz w:val="18"/>
              </w:rPr>
            </w:pPr>
          </w:p>
        </w:tc>
      </w:tr>
      <w:tr w:rsidR="004D1281" w14:paraId="46FDD8C4" w14:textId="77777777" w:rsidTr="004D1281">
        <w:trPr>
          <w:trHeight w:val="847"/>
        </w:trPr>
        <w:tc>
          <w:tcPr>
            <w:tcW w:w="1838" w:type="dxa"/>
          </w:tcPr>
          <w:p w14:paraId="61F0875C" w14:textId="53D3AF26" w:rsidR="004D1281" w:rsidRPr="00EF5B37" w:rsidRDefault="004D1281" w:rsidP="00046549">
            <w:pPr>
              <w:pStyle w:val="TableParagraph"/>
              <w:rPr>
                <w:rFonts w:ascii="VAG Rounded Std Thin" w:hAnsi="VAG Rounded Std Thin"/>
                <w:sz w:val="18"/>
              </w:rPr>
            </w:pPr>
            <w:r w:rsidRPr="00EF5B37">
              <w:rPr>
                <w:rFonts w:ascii="VAG Rounded Std Thin" w:hAnsi="VAG Rounded Std Thin"/>
                <w:sz w:val="18"/>
              </w:rPr>
              <w:t>I</w:t>
            </w:r>
            <w:r w:rsidR="000805D6" w:rsidRPr="00EF5B37">
              <w:rPr>
                <w:rFonts w:ascii="VAG Rounded Std Thin" w:hAnsi="VAG Rounded Std Thin"/>
                <w:sz w:val="18"/>
              </w:rPr>
              <w:t>SA</w:t>
            </w:r>
            <w:r w:rsidRPr="00EF5B37">
              <w:rPr>
                <w:rFonts w:ascii="VAG Rounded Std Thin" w:hAnsi="VAG Rounded Std Thin"/>
                <w:sz w:val="18"/>
              </w:rPr>
              <w:t xml:space="preserve"> </w:t>
            </w:r>
            <w:r w:rsidR="000805D6" w:rsidRPr="00EF5B37">
              <w:rPr>
                <w:rFonts w:ascii="VAG Rounded Std Thin" w:hAnsi="VAG Rounded Std Thin"/>
                <w:sz w:val="18"/>
              </w:rPr>
              <w:t>and</w:t>
            </w:r>
            <w:r w:rsidRPr="00EF5B37">
              <w:rPr>
                <w:rFonts w:ascii="VAG Rounded Std Thin" w:hAnsi="VAG Rounded Std Thin"/>
                <w:sz w:val="18"/>
              </w:rPr>
              <w:t xml:space="preserve"> J</w:t>
            </w:r>
            <w:r w:rsidR="000805D6" w:rsidRPr="00EF5B37">
              <w:rPr>
                <w:rFonts w:ascii="VAG Rounded Std Thin" w:hAnsi="VAG Rounded Std Thin"/>
                <w:sz w:val="18"/>
              </w:rPr>
              <w:t>ISA</w:t>
            </w:r>
          </w:p>
        </w:tc>
        <w:tc>
          <w:tcPr>
            <w:tcW w:w="6379" w:type="dxa"/>
          </w:tcPr>
          <w:p w14:paraId="6385BA66" w14:textId="4C104B32" w:rsidR="004D1281" w:rsidRPr="00C113E7" w:rsidRDefault="004D1281" w:rsidP="004D1281">
            <w:pPr>
              <w:pStyle w:val="TableParagraph"/>
              <w:rPr>
                <w:rFonts w:ascii="VAG Rounded Std Thin" w:hAnsi="VAG Rounded Std Thin"/>
                <w:sz w:val="18"/>
              </w:rPr>
            </w:pPr>
            <w:r w:rsidRPr="00C113E7">
              <w:rPr>
                <w:rFonts w:ascii="VAG Rounded Std Thin" w:hAnsi="VAG Rounded Std Thin"/>
                <w:sz w:val="18"/>
              </w:rPr>
              <w:t xml:space="preserve">Platform fee is reduced to </w:t>
            </w:r>
            <w:r w:rsidR="00637CEF" w:rsidRPr="00C113E7">
              <w:rPr>
                <w:rFonts w:ascii="VAG Rounded Std Thin" w:hAnsi="VAG Rounded Std Thin"/>
                <w:sz w:val="18"/>
              </w:rPr>
              <w:t>0.15</w:t>
            </w:r>
            <w:r w:rsidR="00751DD5" w:rsidRPr="00C113E7">
              <w:rPr>
                <w:rFonts w:ascii="VAG Rounded Std Thin" w:hAnsi="VAG Rounded Std Thin"/>
                <w:sz w:val="18"/>
              </w:rPr>
              <w:t xml:space="preserve">% </w:t>
            </w:r>
            <w:r w:rsidRPr="00C113E7">
              <w:rPr>
                <w:rFonts w:ascii="VAG Rounded Std Thin" w:hAnsi="VAG Rounded Std Thin"/>
                <w:sz w:val="18"/>
              </w:rPr>
              <w:t xml:space="preserve">per annum on portfolio values between £0 to </w:t>
            </w:r>
          </w:p>
          <w:p w14:paraId="1C4CBD10" w14:textId="3C7D4A07" w:rsidR="004D1281" w:rsidRPr="00C113E7" w:rsidRDefault="00103F3F" w:rsidP="004D1281">
            <w:pPr>
              <w:pStyle w:val="TableParagraph"/>
              <w:rPr>
                <w:rFonts w:ascii="VAG Rounded Std Thin" w:hAnsi="VAG Rounded Std Thin"/>
                <w:sz w:val="18"/>
              </w:rPr>
            </w:pPr>
            <w:r w:rsidRPr="00C113E7">
              <w:rPr>
                <w:rFonts w:ascii="VAG Rounded Std Thin" w:hAnsi="VAG Rounded Std Thin"/>
                <w:sz w:val="18"/>
              </w:rPr>
              <w:t xml:space="preserve">£1,000,000.00 </w:t>
            </w:r>
            <w:r w:rsidR="004D1281" w:rsidRPr="00C113E7">
              <w:rPr>
                <w:rFonts w:ascii="VAG Rounded Std Thin" w:hAnsi="VAG Rounded Std Thin"/>
                <w:sz w:val="18"/>
              </w:rPr>
              <w:t>with standard charging applying thereafter.</w:t>
            </w:r>
          </w:p>
        </w:tc>
      </w:tr>
      <w:tr w:rsidR="004D1281" w14:paraId="21199386" w14:textId="77777777" w:rsidTr="004D1281">
        <w:trPr>
          <w:trHeight w:val="847"/>
        </w:trPr>
        <w:tc>
          <w:tcPr>
            <w:tcW w:w="1838" w:type="dxa"/>
          </w:tcPr>
          <w:p w14:paraId="1371BBC3" w14:textId="77777777" w:rsidR="004D1281" w:rsidRPr="00EF5B37" w:rsidRDefault="004D1281" w:rsidP="00046549">
            <w:pPr>
              <w:pStyle w:val="TableParagraph"/>
              <w:rPr>
                <w:rFonts w:ascii="VAG Rounded Std Thin" w:hAnsi="VAG Rounded Std Thin"/>
                <w:sz w:val="18"/>
              </w:rPr>
            </w:pPr>
            <w:r w:rsidRPr="00EF5B37">
              <w:rPr>
                <w:rFonts w:ascii="VAG Rounded Std Thin" w:hAnsi="VAG Rounded Std Thin"/>
                <w:sz w:val="18"/>
              </w:rPr>
              <w:t>Pension</w:t>
            </w:r>
          </w:p>
        </w:tc>
        <w:tc>
          <w:tcPr>
            <w:tcW w:w="6379" w:type="dxa"/>
          </w:tcPr>
          <w:p w14:paraId="0D3CD22E" w14:textId="7563856E" w:rsidR="004D1281" w:rsidRPr="00C113E7" w:rsidRDefault="004D1281" w:rsidP="00046549">
            <w:pPr>
              <w:pStyle w:val="TableParagraph"/>
              <w:rPr>
                <w:rFonts w:ascii="VAG Rounded Std Thin" w:hAnsi="VAG Rounded Std Thin"/>
                <w:sz w:val="18"/>
              </w:rPr>
            </w:pPr>
            <w:r w:rsidRPr="00C113E7">
              <w:rPr>
                <w:rFonts w:ascii="VAG Rounded Std Thin" w:hAnsi="VAG Rounded Std Thin"/>
                <w:sz w:val="18"/>
              </w:rPr>
              <w:t xml:space="preserve">Platform fee is reduced to </w:t>
            </w:r>
            <w:r w:rsidR="00637CEF" w:rsidRPr="00C113E7">
              <w:rPr>
                <w:rFonts w:ascii="VAG Rounded Std Thin" w:hAnsi="VAG Rounded Std Thin"/>
                <w:sz w:val="18"/>
              </w:rPr>
              <w:t>0.15</w:t>
            </w:r>
            <w:r w:rsidR="00751DD5" w:rsidRPr="00C113E7">
              <w:rPr>
                <w:rFonts w:ascii="VAG Rounded Std Thin" w:hAnsi="VAG Rounded Std Thin"/>
                <w:sz w:val="18"/>
              </w:rPr>
              <w:t xml:space="preserve">% </w:t>
            </w:r>
            <w:r w:rsidRPr="00C113E7">
              <w:rPr>
                <w:rFonts w:ascii="VAG Rounded Std Thin" w:hAnsi="VAG Rounded Std Thin"/>
                <w:sz w:val="18"/>
              </w:rPr>
              <w:t xml:space="preserve">per annum on portfolio values between £0 to </w:t>
            </w:r>
          </w:p>
          <w:p w14:paraId="7157D3DF" w14:textId="2DEEE54D" w:rsidR="004D1281" w:rsidRPr="00C113E7" w:rsidRDefault="00103F3F" w:rsidP="00046549">
            <w:pPr>
              <w:pStyle w:val="TableParagraph"/>
              <w:rPr>
                <w:rFonts w:ascii="VAG Rounded Std Thin" w:hAnsi="VAG Rounded Std Thin"/>
                <w:sz w:val="18"/>
              </w:rPr>
            </w:pPr>
            <w:r w:rsidRPr="00C113E7">
              <w:rPr>
                <w:rFonts w:ascii="VAG Rounded Std Thin" w:hAnsi="VAG Rounded Std Thin"/>
                <w:sz w:val="18"/>
              </w:rPr>
              <w:t xml:space="preserve">£1,000,000.00 </w:t>
            </w:r>
            <w:r w:rsidR="004D1281" w:rsidRPr="00C113E7">
              <w:rPr>
                <w:rFonts w:ascii="VAG Rounded Std Thin" w:hAnsi="VAG Rounded Std Thin"/>
                <w:sz w:val="18"/>
              </w:rPr>
              <w:t>with standard charging applying thereafter.</w:t>
            </w:r>
          </w:p>
          <w:p w14:paraId="516815CF" w14:textId="77777777" w:rsidR="004D1281" w:rsidRPr="00C113E7" w:rsidRDefault="004D1281" w:rsidP="00046549">
            <w:pPr>
              <w:pStyle w:val="TableParagraph"/>
              <w:spacing w:before="173" w:line="240" w:lineRule="auto"/>
              <w:rPr>
                <w:rFonts w:ascii="VAG Rounded Std Thin" w:hAnsi="VAG Rounded Std Thin"/>
                <w:sz w:val="18"/>
              </w:rPr>
            </w:pPr>
          </w:p>
        </w:tc>
      </w:tr>
      <w:tr w:rsidR="004D1281" w14:paraId="41740097" w14:textId="77777777" w:rsidTr="004D1281">
        <w:trPr>
          <w:trHeight w:val="847"/>
        </w:trPr>
        <w:tc>
          <w:tcPr>
            <w:tcW w:w="1838" w:type="dxa"/>
          </w:tcPr>
          <w:p w14:paraId="6D3D2FAD" w14:textId="3C43271E" w:rsidR="004D1281" w:rsidRPr="00EF5B37" w:rsidRDefault="004D1281" w:rsidP="00046549">
            <w:pPr>
              <w:pStyle w:val="TableParagraph"/>
              <w:spacing w:line="234" w:lineRule="exact"/>
              <w:rPr>
                <w:rFonts w:ascii="VAG Rounded Std Thin" w:hAnsi="VAG Rounded Std Thin"/>
                <w:sz w:val="18"/>
              </w:rPr>
            </w:pPr>
            <w:r w:rsidRPr="00EF5B37">
              <w:rPr>
                <w:rFonts w:ascii="VAG Rounded Std Thin" w:hAnsi="VAG Rounded Std Thin"/>
                <w:sz w:val="18"/>
              </w:rPr>
              <w:t>Onshore bond</w:t>
            </w:r>
          </w:p>
        </w:tc>
        <w:tc>
          <w:tcPr>
            <w:tcW w:w="6379" w:type="dxa"/>
          </w:tcPr>
          <w:p w14:paraId="27272E4B" w14:textId="4FE151B9" w:rsidR="004547A9" w:rsidRPr="00C113E7" w:rsidRDefault="004547A9" w:rsidP="004547A9">
            <w:pPr>
              <w:pStyle w:val="TableParagraph"/>
              <w:rPr>
                <w:rFonts w:ascii="VAG Rounded Std Thin" w:hAnsi="VAG Rounded Std Thin"/>
                <w:sz w:val="18"/>
              </w:rPr>
            </w:pPr>
            <w:r w:rsidRPr="00C113E7">
              <w:rPr>
                <w:rFonts w:ascii="VAG Rounded Std Thin" w:hAnsi="VAG Rounded Std Thin"/>
                <w:sz w:val="18"/>
              </w:rPr>
              <w:t xml:space="preserve">Platform fee is reduced to </w:t>
            </w:r>
            <w:r w:rsidR="002749D9" w:rsidRPr="00C113E7">
              <w:rPr>
                <w:rFonts w:ascii="VAG Rounded Std Thin" w:hAnsi="VAG Rounded Std Thin"/>
                <w:sz w:val="18"/>
              </w:rPr>
              <w:t>0.25</w:t>
            </w:r>
            <w:r w:rsidRPr="00C113E7">
              <w:rPr>
                <w:rFonts w:ascii="VAG Rounded Std Thin" w:hAnsi="VAG Rounded Std Thin"/>
                <w:sz w:val="18"/>
              </w:rPr>
              <w:t xml:space="preserve">% per annum on portfolio values between £0 to </w:t>
            </w:r>
          </w:p>
          <w:p w14:paraId="2527BDCD" w14:textId="3F1CE7F6" w:rsidR="004547A9" w:rsidRPr="00C113E7" w:rsidRDefault="00103F3F" w:rsidP="004547A9">
            <w:pPr>
              <w:pStyle w:val="TableParagraph"/>
              <w:rPr>
                <w:rFonts w:ascii="VAG Rounded Std Thin" w:hAnsi="VAG Rounded Std Thin"/>
                <w:sz w:val="18"/>
              </w:rPr>
            </w:pPr>
            <w:r w:rsidRPr="00C113E7">
              <w:rPr>
                <w:rFonts w:ascii="VAG Rounded Std Thin" w:hAnsi="VAG Rounded Std Thin"/>
                <w:sz w:val="18"/>
              </w:rPr>
              <w:t>£1,000,000.00</w:t>
            </w:r>
            <w:r w:rsidR="004547A9" w:rsidRPr="00C113E7">
              <w:rPr>
                <w:rFonts w:ascii="VAG Rounded Std Thin" w:hAnsi="VAG Rounded Std Thin"/>
                <w:sz w:val="18"/>
              </w:rPr>
              <w:t xml:space="preserve"> with standard charging applying thereafter.</w:t>
            </w:r>
          </w:p>
          <w:p w14:paraId="5F5B024C" w14:textId="197E8E56" w:rsidR="004D1281" w:rsidRPr="00C113E7" w:rsidRDefault="004D1281" w:rsidP="00046549">
            <w:pPr>
              <w:pStyle w:val="TableParagraph"/>
              <w:spacing w:line="234" w:lineRule="exact"/>
              <w:rPr>
                <w:rFonts w:ascii="VAG Rounded Std Thin" w:hAnsi="VAG Rounded Std Thin"/>
                <w:sz w:val="18"/>
              </w:rPr>
            </w:pPr>
          </w:p>
        </w:tc>
      </w:tr>
      <w:tr w:rsidR="004D1281" w14:paraId="20EA2196" w14:textId="77777777" w:rsidTr="004D1281">
        <w:trPr>
          <w:trHeight w:val="847"/>
        </w:trPr>
        <w:tc>
          <w:tcPr>
            <w:tcW w:w="1838" w:type="dxa"/>
          </w:tcPr>
          <w:p w14:paraId="1A4778AD" w14:textId="29E17177" w:rsidR="004D1281" w:rsidRPr="00EF5B37" w:rsidRDefault="004D1281" w:rsidP="00046549">
            <w:pPr>
              <w:pStyle w:val="TableParagraph"/>
              <w:spacing w:line="234" w:lineRule="exact"/>
              <w:rPr>
                <w:rFonts w:ascii="VAG Rounded Std Thin" w:hAnsi="VAG Rounded Std Thin"/>
                <w:sz w:val="18"/>
              </w:rPr>
            </w:pPr>
            <w:r w:rsidRPr="00EF5B37">
              <w:rPr>
                <w:rFonts w:ascii="VAG Rounded Std Thin" w:hAnsi="VAG Rounded Std Thin"/>
                <w:sz w:val="18"/>
              </w:rPr>
              <w:t>Offshore bond</w:t>
            </w:r>
          </w:p>
        </w:tc>
        <w:tc>
          <w:tcPr>
            <w:tcW w:w="6379" w:type="dxa"/>
          </w:tcPr>
          <w:p w14:paraId="3CDDFEDC" w14:textId="7E447564" w:rsidR="004547A9" w:rsidRPr="00C113E7" w:rsidRDefault="004547A9" w:rsidP="004547A9">
            <w:pPr>
              <w:pStyle w:val="TableParagraph"/>
              <w:rPr>
                <w:rFonts w:ascii="VAG Rounded Std Thin" w:hAnsi="VAG Rounded Std Thin"/>
                <w:sz w:val="18"/>
              </w:rPr>
            </w:pPr>
            <w:r w:rsidRPr="00C113E7">
              <w:rPr>
                <w:rFonts w:ascii="VAG Rounded Std Thin" w:hAnsi="VAG Rounded Std Thin"/>
                <w:sz w:val="18"/>
              </w:rPr>
              <w:t xml:space="preserve">Platform fee is reduced to </w:t>
            </w:r>
            <w:r w:rsidR="008065D8" w:rsidRPr="00C113E7">
              <w:rPr>
                <w:rFonts w:ascii="VAG Rounded Std Thin" w:hAnsi="VAG Rounded Std Thin"/>
                <w:sz w:val="18"/>
              </w:rPr>
              <w:t>0.30</w:t>
            </w:r>
            <w:r w:rsidRPr="00C113E7">
              <w:rPr>
                <w:rFonts w:ascii="VAG Rounded Std Thin" w:hAnsi="VAG Rounded Std Thin"/>
                <w:sz w:val="18"/>
              </w:rPr>
              <w:t xml:space="preserve">% per annum on portfolio values between £0 to </w:t>
            </w:r>
          </w:p>
          <w:p w14:paraId="2B871A29" w14:textId="7CE5F8D1" w:rsidR="004547A9" w:rsidRPr="00C113E7" w:rsidRDefault="00103F3F" w:rsidP="004547A9">
            <w:pPr>
              <w:pStyle w:val="TableParagraph"/>
              <w:rPr>
                <w:rFonts w:ascii="VAG Rounded Std Thin" w:hAnsi="VAG Rounded Std Thin"/>
                <w:sz w:val="18"/>
              </w:rPr>
            </w:pPr>
            <w:r w:rsidRPr="00C113E7">
              <w:rPr>
                <w:rFonts w:ascii="VAG Rounded Std Thin" w:hAnsi="VAG Rounded Std Thin"/>
                <w:sz w:val="18"/>
              </w:rPr>
              <w:t xml:space="preserve">£1,000,000.00 </w:t>
            </w:r>
            <w:r w:rsidR="004547A9" w:rsidRPr="00C113E7">
              <w:rPr>
                <w:rFonts w:ascii="VAG Rounded Std Thin" w:hAnsi="VAG Rounded Std Thin"/>
                <w:sz w:val="18"/>
              </w:rPr>
              <w:t>with standard charging applying thereafter.</w:t>
            </w:r>
          </w:p>
          <w:p w14:paraId="42ED33D4" w14:textId="709C7268" w:rsidR="004D1281" w:rsidRPr="00C113E7" w:rsidRDefault="004D1281" w:rsidP="00046549">
            <w:pPr>
              <w:pStyle w:val="TableParagraph"/>
              <w:spacing w:line="234" w:lineRule="exact"/>
              <w:rPr>
                <w:rFonts w:ascii="VAG Rounded Std Thin" w:hAnsi="VAG Rounded Std Thin"/>
                <w:sz w:val="18"/>
              </w:rPr>
            </w:pPr>
          </w:p>
        </w:tc>
      </w:tr>
    </w:tbl>
    <w:p w14:paraId="51173B9A" w14:textId="0FB29CF7" w:rsidR="004D1281" w:rsidRPr="00A407C7" w:rsidRDefault="004D1281" w:rsidP="0057747D">
      <w:pPr>
        <w:spacing w:line="240" w:lineRule="auto"/>
        <w:ind w:left="108"/>
        <w:rPr>
          <w:sz w:val="14"/>
          <w:szCs w:val="14"/>
        </w:rPr>
      </w:pPr>
      <w:r w:rsidRPr="00A407C7">
        <w:rPr>
          <w:sz w:val="14"/>
          <w:szCs w:val="14"/>
        </w:rPr>
        <w:t xml:space="preserve">*All other charges will be as per </w:t>
      </w:r>
      <w:r w:rsidR="00E31D1D" w:rsidRPr="00A407C7">
        <w:rPr>
          <w:sz w:val="14"/>
          <w:szCs w:val="14"/>
        </w:rPr>
        <w:t>Nucleus</w:t>
      </w:r>
      <w:r w:rsidR="00CF0BF7">
        <w:rPr>
          <w:sz w:val="14"/>
          <w:szCs w:val="14"/>
        </w:rPr>
        <w:t>’</w:t>
      </w:r>
      <w:r w:rsidR="00CD1DB6" w:rsidRPr="00A407C7">
        <w:rPr>
          <w:sz w:val="14"/>
          <w:szCs w:val="14"/>
        </w:rPr>
        <w:t xml:space="preserve"> </w:t>
      </w:r>
      <w:r w:rsidRPr="00A407C7">
        <w:rPr>
          <w:sz w:val="14"/>
          <w:szCs w:val="14"/>
        </w:rPr>
        <w:t>terms and conditions.</w:t>
      </w:r>
    </w:p>
    <w:p w14:paraId="4657C5D6" w14:textId="77777777" w:rsidR="00153087" w:rsidRDefault="00153087" w:rsidP="0057747D">
      <w:pPr>
        <w:pStyle w:val="BodyText"/>
        <w:spacing w:before="1" w:line="240" w:lineRule="auto"/>
      </w:pPr>
    </w:p>
    <w:p w14:paraId="23D63552" w14:textId="1B4DBDE2" w:rsidR="004D1281" w:rsidRDefault="00184AB7" w:rsidP="008519D0">
      <w:pPr>
        <w:pStyle w:val="BodyText"/>
        <w:spacing w:before="1" w:line="360" w:lineRule="auto"/>
      </w:pPr>
      <w:r>
        <w:t>If you stop</w:t>
      </w:r>
      <w:r w:rsidR="004D1281">
        <w:t xml:space="preserve"> being a client of </w:t>
      </w:r>
      <w:r w:rsidR="00C308FF" w:rsidRPr="00C308FF">
        <w:t>Perspective Financial Group</w:t>
      </w:r>
      <w:r w:rsidR="004D1281">
        <w:t xml:space="preserve">, </w:t>
      </w:r>
      <w:r w:rsidR="00633BB0">
        <w:t xml:space="preserve">or the special pricing </w:t>
      </w:r>
      <w:r w:rsidR="00C21747">
        <w:t xml:space="preserve">agreement with </w:t>
      </w:r>
      <w:r w:rsidR="00C308FF" w:rsidRPr="00C308FF">
        <w:t>Perspective Financial Group</w:t>
      </w:r>
      <w:r w:rsidR="00C21747">
        <w:t xml:space="preserve"> is otherwise</w:t>
      </w:r>
      <w:r w:rsidR="008519D0">
        <w:t xml:space="preserve"> </w:t>
      </w:r>
      <w:r w:rsidR="00C21747">
        <w:t xml:space="preserve">terminated, your </w:t>
      </w:r>
      <w:r w:rsidR="004D1281">
        <w:t>Nucleus</w:t>
      </w:r>
      <w:r w:rsidR="00CD1DB6">
        <w:t xml:space="preserve"> platform</w:t>
      </w:r>
      <w:r w:rsidR="004D1281">
        <w:t xml:space="preserve"> fees will revert to </w:t>
      </w:r>
      <w:r w:rsidR="00D465F6">
        <w:t>th</w:t>
      </w:r>
      <w:r w:rsidR="006B461B">
        <w:t>e</w:t>
      </w:r>
      <w:r w:rsidR="00D465F6">
        <w:t xml:space="preserve"> </w:t>
      </w:r>
      <w:r w:rsidR="004D1281">
        <w:t>standard charg</w:t>
      </w:r>
      <w:r w:rsidR="00D465F6">
        <w:t>es</w:t>
      </w:r>
      <w:r w:rsidR="004D1281">
        <w:t>.</w:t>
      </w:r>
    </w:p>
    <w:p w14:paraId="6BC85F75" w14:textId="3A094D20" w:rsidR="004D1281" w:rsidRPr="00C24DAE" w:rsidRDefault="004D1281" w:rsidP="00CD1DB6">
      <w:pPr>
        <w:pStyle w:val="Heading3"/>
        <w:rPr>
          <w:color w:val="70655D" w:themeColor="text1"/>
          <w:sz w:val="20"/>
        </w:rPr>
      </w:pPr>
      <w:r w:rsidRPr="00C24DAE">
        <w:rPr>
          <w:color w:val="70655D" w:themeColor="text1"/>
          <w:sz w:val="20"/>
        </w:rPr>
        <w:t>Any additional charges?</w:t>
      </w:r>
    </w:p>
    <w:p w14:paraId="0102EF16" w14:textId="1961D9E0" w:rsidR="004D1281" w:rsidRPr="00355410" w:rsidRDefault="004D1281" w:rsidP="00355410">
      <w:pPr>
        <w:rPr>
          <w:szCs w:val="18"/>
        </w:rPr>
      </w:pPr>
      <w:r w:rsidRPr="004D1281">
        <w:t xml:space="preserve">If you invest directly in equities, there’s an equity dealing charge, which is currently a 0.035% transaction </w:t>
      </w:r>
      <w:r w:rsidRPr="00DD14D8">
        <w:t>charge subject to a minimum of £3.50.</w:t>
      </w:r>
    </w:p>
    <w:p w14:paraId="27760BFD" w14:textId="77777777" w:rsidR="00CE1A12" w:rsidRDefault="00CE1A12" w:rsidP="00CD1DB6">
      <w:pPr>
        <w:pStyle w:val="Heading2"/>
        <w:rPr>
          <w:color w:val="70655D" w:themeColor="text1"/>
        </w:rPr>
      </w:pPr>
    </w:p>
    <w:p w14:paraId="080ACC71" w14:textId="77777777" w:rsidR="000805D6" w:rsidRDefault="000805D6" w:rsidP="00CD1DB6">
      <w:pPr>
        <w:pStyle w:val="Heading2"/>
        <w:rPr>
          <w:color w:val="70655D" w:themeColor="text1"/>
        </w:rPr>
      </w:pPr>
    </w:p>
    <w:p w14:paraId="60F7A608" w14:textId="2F2B80F6" w:rsidR="004D1281" w:rsidRPr="00CD1DB6" w:rsidRDefault="004D1281" w:rsidP="00CD1DB6">
      <w:pPr>
        <w:pStyle w:val="Heading2"/>
      </w:pPr>
      <w:r w:rsidRPr="00CD1DB6">
        <w:t xml:space="preserve">What will stop Nucleus </w:t>
      </w:r>
      <w:r w:rsidR="000805D6">
        <w:t>applying the reduction in platform charge</w:t>
      </w:r>
      <w:r w:rsidRPr="00CD1DB6">
        <w:t>?</w:t>
      </w:r>
    </w:p>
    <w:p w14:paraId="17A96DEE" w14:textId="66C81F68" w:rsidR="004D1281" w:rsidRDefault="004D1281" w:rsidP="004D1281">
      <w:pPr>
        <w:pStyle w:val="BodyText"/>
      </w:pPr>
      <w:r w:rsidRPr="004D1281">
        <w:t>The r</w:t>
      </w:r>
      <w:r w:rsidR="000805D6">
        <w:t xml:space="preserve">eduction in platform charge </w:t>
      </w:r>
      <w:r w:rsidR="00CD1BCD">
        <w:t>won’t</w:t>
      </w:r>
      <w:r w:rsidRPr="004D1281">
        <w:t xml:space="preserve"> be applied under the following circumstances:</w:t>
      </w:r>
    </w:p>
    <w:p w14:paraId="59EB01F3" w14:textId="18E3A34E" w:rsidR="004D1281" w:rsidRDefault="004D1281" w:rsidP="003C7D43">
      <w:pPr>
        <w:pStyle w:val="ListBullet"/>
        <w:spacing w:after="0" w:line="240" w:lineRule="auto"/>
      </w:pPr>
      <w:r>
        <w:t>If you decide to select another non-</w:t>
      </w:r>
      <w:r w:rsidR="00C308FF" w:rsidRPr="00C308FF">
        <w:t>Perspective Financial Group</w:t>
      </w:r>
      <w:r w:rsidR="00C308FF">
        <w:t xml:space="preserve"> financial</w:t>
      </w:r>
      <w:r>
        <w:t xml:space="preserve"> adviser or choose </w:t>
      </w:r>
      <w:r w:rsidR="00751740">
        <w:t xml:space="preserve">not to engage the services of </w:t>
      </w:r>
      <w:r w:rsidR="00D62172">
        <w:t>an</w:t>
      </w:r>
      <w:r w:rsidR="00D00434">
        <w:t>y</w:t>
      </w:r>
      <w:r w:rsidR="00D62172">
        <w:t xml:space="preserve"> </w:t>
      </w:r>
      <w:r w:rsidR="00751740">
        <w:t xml:space="preserve">adviser to </w:t>
      </w:r>
      <w:r w:rsidR="0066418F">
        <w:t>manage</w:t>
      </w:r>
      <w:r w:rsidR="00751740">
        <w:t xml:space="preserve"> </w:t>
      </w:r>
      <w:r>
        <w:t>your Nucleus</w:t>
      </w:r>
      <w:r>
        <w:rPr>
          <w:spacing w:val="-11"/>
        </w:rPr>
        <w:t xml:space="preserve"> </w:t>
      </w:r>
      <w:r>
        <w:t>wrap</w:t>
      </w:r>
      <w:r w:rsidR="001B26DA">
        <w:t>.</w:t>
      </w:r>
    </w:p>
    <w:p w14:paraId="27B6B3DA" w14:textId="37DFA8DC" w:rsidR="004D1281" w:rsidRDefault="004D1281" w:rsidP="003C7D43">
      <w:pPr>
        <w:pStyle w:val="ListBullet"/>
        <w:spacing w:after="0" w:line="240" w:lineRule="auto"/>
      </w:pPr>
      <w:r>
        <w:t>If you close your Nucleus wrap</w:t>
      </w:r>
      <w:r>
        <w:rPr>
          <w:spacing w:val="-22"/>
        </w:rPr>
        <w:t xml:space="preserve"> </w:t>
      </w:r>
      <w:r>
        <w:t>account</w:t>
      </w:r>
      <w:r w:rsidR="001B26DA">
        <w:t>.</w:t>
      </w:r>
    </w:p>
    <w:p w14:paraId="271E6D3E" w14:textId="554145DD" w:rsidR="004D1281" w:rsidRDefault="004D1281" w:rsidP="00CE0D14">
      <w:pPr>
        <w:pStyle w:val="ListBullet"/>
        <w:spacing w:after="0" w:line="240" w:lineRule="auto"/>
      </w:pPr>
      <w:r>
        <w:t>If you transfer to another</w:t>
      </w:r>
      <w:r>
        <w:rPr>
          <w:spacing w:val="-16"/>
        </w:rPr>
        <w:t xml:space="preserve"> </w:t>
      </w:r>
      <w:r>
        <w:t>provider</w:t>
      </w:r>
      <w:r w:rsidR="001B26DA">
        <w:t>.</w:t>
      </w:r>
    </w:p>
    <w:p w14:paraId="25B4B230" w14:textId="68537DF7" w:rsidR="00491F93" w:rsidRDefault="00491F93" w:rsidP="00CE0D14">
      <w:pPr>
        <w:pStyle w:val="ListBullet"/>
        <w:spacing w:after="0" w:line="240" w:lineRule="auto"/>
      </w:pPr>
      <w:r>
        <w:t xml:space="preserve">If the special pricing agreement with Nucleus and </w:t>
      </w:r>
      <w:r w:rsidR="00C308FF" w:rsidRPr="00C308FF">
        <w:t>Perspective Financial Group</w:t>
      </w:r>
      <w:r>
        <w:t xml:space="preserve"> is terminated. </w:t>
      </w:r>
    </w:p>
    <w:p w14:paraId="65E2CC4B" w14:textId="77777777" w:rsidR="00CE0D14" w:rsidRDefault="00CE0D14" w:rsidP="00CE0D14">
      <w:pPr>
        <w:pStyle w:val="Heading2"/>
        <w:spacing w:before="0" w:after="0" w:line="240" w:lineRule="auto"/>
        <w:rPr>
          <w:color w:val="70655D" w:themeColor="text1"/>
        </w:rPr>
      </w:pPr>
    </w:p>
    <w:p w14:paraId="55519C18" w14:textId="7168F440" w:rsidR="004D1281" w:rsidRPr="00C24DAE" w:rsidRDefault="004D1281" w:rsidP="00CE0D14">
      <w:pPr>
        <w:pStyle w:val="Heading2"/>
        <w:spacing w:before="0" w:after="0" w:line="240" w:lineRule="auto"/>
        <w:rPr>
          <w:color w:val="70655D" w:themeColor="text1"/>
        </w:rPr>
      </w:pPr>
      <w:r w:rsidRPr="00C24DAE">
        <w:rPr>
          <w:color w:val="70655D" w:themeColor="text1"/>
        </w:rPr>
        <w:t>Will the re</w:t>
      </w:r>
      <w:r w:rsidR="000805D6">
        <w:rPr>
          <w:color w:val="70655D" w:themeColor="text1"/>
        </w:rPr>
        <w:t>duction in platform charge</w:t>
      </w:r>
      <w:r w:rsidRPr="00C24DAE">
        <w:rPr>
          <w:color w:val="70655D" w:themeColor="text1"/>
        </w:rPr>
        <w:t xml:space="preserve"> show in Nucleus documentation?</w:t>
      </w:r>
    </w:p>
    <w:p w14:paraId="098C4A62" w14:textId="77777777" w:rsidR="00CE0D14" w:rsidRDefault="00CE0D14" w:rsidP="00CD1DB6">
      <w:pPr>
        <w:pStyle w:val="Heading3"/>
        <w:rPr>
          <w:color w:val="70655D" w:themeColor="text1"/>
        </w:rPr>
      </w:pPr>
    </w:p>
    <w:p w14:paraId="36DE23E1" w14:textId="47E078EF" w:rsidR="004D1281" w:rsidRPr="00C42AF6" w:rsidRDefault="004D1281" w:rsidP="00CD1DB6">
      <w:pPr>
        <w:pStyle w:val="Heading3"/>
        <w:rPr>
          <w:color w:val="70655D" w:themeColor="text1"/>
          <w:sz w:val="20"/>
        </w:rPr>
      </w:pPr>
      <w:r w:rsidRPr="00C42AF6">
        <w:rPr>
          <w:color w:val="70655D" w:themeColor="text1"/>
          <w:sz w:val="20"/>
        </w:rPr>
        <w:t>Terms and conditions</w:t>
      </w:r>
    </w:p>
    <w:p w14:paraId="03133C71" w14:textId="06A97699" w:rsidR="004D1281" w:rsidRPr="004D1281" w:rsidRDefault="004441B8" w:rsidP="004D1281">
      <w:pPr>
        <w:pStyle w:val="BodyText"/>
      </w:pPr>
      <w:r w:rsidRPr="0027418C">
        <w:t xml:space="preserve">The </w:t>
      </w:r>
      <w:r w:rsidR="004D1281" w:rsidRPr="0027418C">
        <w:t>standard platform charges are shown</w:t>
      </w:r>
      <w:r w:rsidR="003173FF" w:rsidRPr="0027418C">
        <w:t xml:space="preserve"> in </w:t>
      </w:r>
      <w:r w:rsidR="004D1281" w:rsidRPr="0027418C">
        <w:t>the Nucleus terms and conditions.</w:t>
      </w:r>
      <w:r w:rsidR="004D1281" w:rsidRPr="004D1281">
        <w:t xml:space="preserve"> </w:t>
      </w:r>
      <w:r w:rsidR="00E31D1D">
        <w:t>Any</w:t>
      </w:r>
      <w:r w:rsidR="004D1281" w:rsidRPr="004D1281">
        <w:t xml:space="preserve"> re</w:t>
      </w:r>
      <w:r w:rsidR="000805D6">
        <w:t>duction in platform charge</w:t>
      </w:r>
      <w:r w:rsidR="00E31D1D">
        <w:t xml:space="preserve"> </w:t>
      </w:r>
      <w:r w:rsidR="003C4D6C">
        <w:t xml:space="preserve">that’s </w:t>
      </w:r>
      <w:r w:rsidR="00E31D1D">
        <w:t>being applied</w:t>
      </w:r>
      <w:r w:rsidR="004D1281">
        <w:t xml:space="preserve"> </w:t>
      </w:r>
      <w:r w:rsidR="00E31D1D">
        <w:t>is</w:t>
      </w:r>
      <w:r w:rsidR="004D1281">
        <w:t xml:space="preserve"> </w:t>
      </w:r>
      <w:r w:rsidR="004D1281" w:rsidRPr="004D1281">
        <w:t>a special</w:t>
      </w:r>
      <w:r w:rsidR="00B54319">
        <w:t xml:space="preserve"> pricing deal</w:t>
      </w:r>
      <w:r w:rsidR="004D1281" w:rsidRPr="004D1281">
        <w:t xml:space="preserve">, which is why </w:t>
      </w:r>
      <w:r w:rsidR="00E31D1D">
        <w:t>it’s</w:t>
      </w:r>
      <w:r w:rsidR="004D1281" w:rsidRPr="004D1281">
        <w:t xml:space="preserve"> not displayed in the Nucleus terms and conditions.</w:t>
      </w:r>
    </w:p>
    <w:p w14:paraId="14027C64" w14:textId="77777777" w:rsidR="004D1281" w:rsidRPr="00C42AF6" w:rsidRDefault="004D1281" w:rsidP="00CD1DB6">
      <w:pPr>
        <w:pStyle w:val="Heading3"/>
        <w:rPr>
          <w:color w:val="70655D" w:themeColor="text1"/>
          <w:sz w:val="20"/>
        </w:rPr>
      </w:pPr>
      <w:r w:rsidRPr="00C42AF6">
        <w:rPr>
          <w:color w:val="70655D" w:themeColor="text1"/>
          <w:sz w:val="20"/>
        </w:rPr>
        <w:t>Illustrations</w:t>
      </w:r>
    </w:p>
    <w:p w14:paraId="3E6ACACB" w14:textId="3CF9F32B" w:rsidR="00E31D1D" w:rsidRDefault="004D1281" w:rsidP="004D1281">
      <w:pPr>
        <w:pStyle w:val="BodyText"/>
      </w:pPr>
      <w:r w:rsidRPr="004D1281">
        <w:t xml:space="preserve">Nucleus will provide illustrations, which give you an idea of how your wrap may perform over the coming years. Nucleus include the standard platform charge to calculate the projections, which is the charge you would pay without the special </w:t>
      </w:r>
      <w:r w:rsidR="004E6AA0">
        <w:t>pricing deal</w:t>
      </w:r>
      <w:r w:rsidRPr="004D1281">
        <w:t xml:space="preserve">. </w:t>
      </w:r>
      <w:r w:rsidR="00E31D1D">
        <w:t>Any</w:t>
      </w:r>
      <w:r w:rsidRPr="004D1281">
        <w:t xml:space="preserve"> re</w:t>
      </w:r>
      <w:r w:rsidR="000805D6">
        <w:t>duction in platform charge</w:t>
      </w:r>
      <w:r w:rsidRPr="004D1281">
        <w:t xml:space="preserve"> </w:t>
      </w:r>
      <w:r w:rsidR="00E31D1D">
        <w:t>being applied is</w:t>
      </w:r>
      <w:r w:rsidRPr="004D1281">
        <w:t xml:space="preserve"> a special </w:t>
      </w:r>
      <w:r w:rsidR="004E6AA0">
        <w:t xml:space="preserve">pricing deal </w:t>
      </w:r>
      <w:r w:rsidRPr="004D1281">
        <w:t xml:space="preserve">offer, which is why </w:t>
      </w:r>
      <w:r w:rsidR="00E31D1D">
        <w:t xml:space="preserve">it’s </w:t>
      </w:r>
      <w:r w:rsidRPr="004D1281">
        <w:t>not included in</w:t>
      </w:r>
      <w:r w:rsidR="00E31D1D">
        <w:t xml:space="preserve"> Nucleus</w:t>
      </w:r>
      <w:r w:rsidR="005C3E7B">
        <w:t>’ standard</w:t>
      </w:r>
      <w:r w:rsidR="00E31D1D">
        <w:t xml:space="preserve"> illustrations</w:t>
      </w:r>
      <w:r w:rsidR="00295CCB">
        <w:t>.</w:t>
      </w:r>
    </w:p>
    <w:p w14:paraId="21F29CA6" w14:textId="77777777" w:rsidR="00E31D1D" w:rsidRPr="00C42AF6" w:rsidRDefault="00E31D1D" w:rsidP="00CD1DB6">
      <w:pPr>
        <w:pStyle w:val="Heading3"/>
        <w:rPr>
          <w:color w:val="70655D" w:themeColor="text1"/>
          <w:sz w:val="20"/>
        </w:rPr>
      </w:pPr>
      <w:r w:rsidRPr="00C42AF6">
        <w:rPr>
          <w:color w:val="70655D" w:themeColor="text1"/>
          <w:sz w:val="20"/>
        </w:rPr>
        <w:t>Quarterly statements and costs and charges</w:t>
      </w:r>
    </w:p>
    <w:p w14:paraId="73704A0B" w14:textId="43744B16" w:rsidR="00E31D1D" w:rsidRPr="00E31D1D" w:rsidRDefault="00E31D1D" w:rsidP="00E31D1D">
      <w:pPr>
        <w:pStyle w:val="BodyText"/>
      </w:pPr>
      <w:r w:rsidRPr="00E31D1D">
        <w:t>The re</w:t>
      </w:r>
      <w:r w:rsidR="000805D6">
        <w:t>duction in platform charge</w:t>
      </w:r>
      <w:r w:rsidRPr="00E31D1D">
        <w:t xml:space="preserve"> will be applied and shown on the </w:t>
      </w:r>
      <w:r>
        <w:t xml:space="preserve">Nucleus </w:t>
      </w:r>
      <w:r w:rsidRPr="00E31D1D">
        <w:t>platform. Simply log in at: go.nucleusfinancial.com and check your transactions page to view the rebate.</w:t>
      </w:r>
    </w:p>
    <w:p w14:paraId="6ACB9662" w14:textId="735AECCD" w:rsidR="00355410" w:rsidRDefault="00E31D1D" w:rsidP="009B39BE">
      <w:pPr>
        <w:pStyle w:val="BodyText"/>
      </w:pPr>
      <w:r w:rsidRPr="00E31D1D">
        <w:t>Throughout the lifetime of your Nucleus wrap you’ll receive statements showing the performance of your investments, as well as the charges you’re paying. Please contact your adviser if you</w:t>
      </w:r>
      <w:r w:rsidR="00DA74EB">
        <w:t xml:space="preserve"> ha</w:t>
      </w:r>
      <w:r w:rsidR="00B5503F">
        <w:t>ve</w:t>
      </w:r>
      <w:r w:rsidRPr="00E31D1D">
        <w:t xml:space="preserve"> any questions.</w:t>
      </w:r>
    </w:p>
    <w:p w14:paraId="1FFB846D" w14:textId="7E3677B3" w:rsidR="00E31D1D" w:rsidRPr="00C24DAE" w:rsidRDefault="004D3960" w:rsidP="00CD1DB6">
      <w:pPr>
        <w:pStyle w:val="Heading2"/>
        <w:rPr>
          <w:color w:val="70655D" w:themeColor="text1"/>
        </w:rPr>
      </w:pPr>
      <w:r w:rsidRPr="00C24DAE">
        <w:rPr>
          <w:color w:val="70655D" w:themeColor="text1"/>
        </w:rPr>
        <w:t>M</w:t>
      </w:r>
      <w:r w:rsidR="00E31D1D" w:rsidRPr="00C24DAE">
        <w:rPr>
          <w:color w:val="70655D" w:themeColor="text1"/>
        </w:rPr>
        <w:t>oving to Nucleus</w:t>
      </w:r>
    </w:p>
    <w:p w14:paraId="0F13FFA0" w14:textId="573D4089" w:rsidR="00E31D1D" w:rsidRDefault="00E31D1D" w:rsidP="00E31D1D">
      <w:pPr>
        <w:pStyle w:val="BodyText"/>
      </w:pPr>
      <w:r w:rsidRPr="00E31D1D">
        <w:t xml:space="preserve">Nucleus is an award winning, independent wrap platform that </w:t>
      </w:r>
      <w:r w:rsidR="00DC1794">
        <w:t xml:space="preserve">allows </w:t>
      </w:r>
      <w:r w:rsidR="00CD1DB6">
        <w:t>you</w:t>
      </w:r>
      <w:r w:rsidRPr="00E31D1D">
        <w:t xml:space="preserve"> </w:t>
      </w:r>
      <w:r w:rsidR="00DC1794">
        <w:t xml:space="preserve">to </w:t>
      </w:r>
      <w:r w:rsidRPr="00E31D1D">
        <w:t xml:space="preserve">hold </w:t>
      </w:r>
      <w:r w:rsidR="00BF4E99" w:rsidRPr="00E31D1D">
        <w:t>all</w:t>
      </w:r>
      <w:r w:rsidR="00CD1DB6">
        <w:t xml:space="preserve"> your</w:t>
      </w:r>
      <w:r w:rsidRPr="00E31D1D">
        <w:t xml:space="preserve"> pensions, I</w:t>
      </w:r>
      <w:r w:rsidR="000805D6">
        <w:t>SA</w:t>
      </w:r>
      <w:r w:rsidRPr="00E31D1D">
        <w:t>s and other investments in one secure place</w:t>
      </w:r>
      <w:r w:rsidR="00DC1794">
        <w:t>,</w:t>
      </w:r>
      <w:r w:rsidRPr="00E31D1D">
        <w:t xml:space="preserve"> online. They have one purpose</w:t>
      </w:r>
      <w:r w:rsidR="00BF4E99">
        <w:t xml:space="preserve"> -</w:t>
      </w:r>
      <w:r w:rsidR="00491F93">
        <w:t xml:space="preserve"> </w:t>
      </w:r>
      <w:r w:rsidRPr="00E31D1D">
        <w:t xml:space="preserve">to help advisers </w:t>
      </w:r>
      <w:r w:rsidR="00EB5AE8">
        <w:t xml:space="preserve">make retirement more rewarding for </w:t>
      </w:r>
      <w:r w:rsidRPr="00E31D1D">
        <w:t>their clients. Nucleus don’t apply any</w:t>
      </w:r>
      <w:r w:rsidR="00DC1794">
        <w:t>:</w:t>
      </w:r>
    </w:p>
    <w:p w14:paraId="0D424F2E" w14:textId="77777777" w:rsidR="00E31D1D" w:rsidRPr="00E31D1D" w:rsidRDefault="00E31D1D" w:rsidP="00A93126">
      <w:pPr>
        <w:pStyle w:val="ListBullet"/>
        <w:numPr>
          <w:ilvl w:val="0"/>
          <w:numId w:val="50"/>
        </w:numPr>
        <w:spacing w:after="0" w:line="240" w:lineRule="auto"/>
      </w:pPr>
      <w:r w:rsidRPr="00E31D1D">
        <w:t>Initial charges</w:t>
      </w:r>
    </w:p>
    <w:p w14:paraId="43E45813" w14:textId="77777777" w:rsidR="00E31D1D" w:rsidRPr="00E31D1D" w:rsidRDefault="00E31D1D" w:rsidP="00A93126">
      <w:pPr>
        <w:pStyle w:val="ListBullet"/>
        <w:numPr>
          <w:ilvl w:val="0"/>
          <w:numId w:val="50"/>
        </w:numPr>
        <w:spacing w:after="0" w:line="240" w:lineRule="auto"/>
      </w:pPr>
      <w:r w:rsidRPr="00E31D1D">
        <w:t>Fund switching charges</w:t>
      </w:r>
    </w:p>
    <w:p w14:paraId="2A13ABDE" w14:textId="77777777" w:rsidR="00E31D1D" w:rsidRDefault="00E31D1D" w:rsidP="00A93126">
      <w:pPr>
        <w:pStyle w:val="ListBullet"/>
        <w:numPr>
          <w:ilvl w:val="0"/>
          <w:numId w:val="50"/>
        </w:numPr>
        <w:spacing w:after="0" w:line="240" w:lineRule="auto"/>
      </w:pPr>
      <w:r w:rsidRPr="00E31D1D">
        <w:t>Transfer on or off charges</w:t>
      </w:r>
    </w:p>
    <w:p w14:paraId="4FB52AC1" w14:textId="77777777" w:rsidR="00E31D1D" w:rsidRDefault="00E31D1D" w:rsidP="00A93126">
      <w:pPr>
        <w:pStyle w:val="ListBullet"/>
        <w:numPr>
          <w:ilvl w:val="0"/>
          <w:numId w:val="50"/>
        </w:numPr>
        <w:spacing w:after="0" w:line="240" w:lineRule="auto"/>
      </w:pPr>
      <w:r>
        <w:t>Pension drawdown</w:t>
      </w:r>
      <w:r>
        <w:rPr>
          <w:spacing w:val="-10"/>
        </w:rPr>
        <w:t xml:space="preserve"> </w:t>
      </w:r>
      <w:r>
        <w:t>charges</w:t>
      </w:r>
    </w:p>
    <w:p w14:paraId="74361669" w14:textId="77777777" w:rsidR="00E31D1D" w:rsidRDefault="00E31D1D" w:rsidP="00A93126">
      <w:pPr>
        <w:pStyle w:val="ListBullet"/>
        <w:numPr>
          <w:ilvl w:val="0"/>
          <w:numId w:val="50"/>
        </w:numPr>
        <w:spacing w:after="0" w:line="240" w:lineRule="auto"/>
      </w:pPr>
      <w:r>
        <w:t>Charges for cash</w:t>
      </w:r>
      <w:r>
        <w:rPr>
          <w:spacing w:val="-11"/>
        </w:rPr>
        <w:t xml:space="preserve"> </w:t>
      </w:r>
      <w:r>
        <w:t>withdrawals</w:t>
      </w:r>
    </w:p>
    <w:p w14:paraId="5A06B45A" w14:textId="77777777" w:rsidR="00E31D1D" w:rsidRDefault="00E31D1D" w:rsidP="00A93126">
      <w:pPr>
        <w:pStyle w:val="ListBullet"/>
        <w:numPr>
          <w:ilvl w:val="0"/>
          <w:numId w:val="50"/>
        </w:numPr>
        <w:spacing w:after="0" w:line="240" w:lineRule="auto"/>
      </w:pPr>
      <w:r>
        <w:t>Model portfolio</w:t>
      </w:r>
      <w:r>
        <w:rPr>
          <w:spacing w:val="-8"/>
        </w:rPr>
        <w:t xml:space="preserve"> </w:t>
      </w:r>
      <w:r>
        <w:t>charges</w:t>
      </w:r>
    </w:p>
    <w:p w14:paraId="4E41C46D" w14:textId="380BFEA7" w:rsidR="00E31D1D" w:rsidRDefault="00E31D1D" w:rsidP="00A93126">
      <w:pPr>
        <w:pStyle w:val="ListBullet"/>
        <w:numPr>
          <w:ilvl w:val="0"/>
          <w:numId w:val="50"/>
        </w:numPr>
        <w:spacing w:after="0" w:line="240" w:lineRule="auto"/>
      </w:pPr>
      <w:r>
        <w:t>Valuation, statement or administration</w:t>
      </w:r>
      <w:r>
        <w:rPr>
          <w:spacing w:val="-11"/>
        </w:rPr>
        <w:t xml:space="preserve"> </w:t>
      </w:r>
      <w:r>
        <w:t>charges</w:t>
      </w:r>
      <w:r w:rsidR="00DC1794">
        <w:t>.</w:t>
      </w:r>
    </w:p>
    <w:p w14:paraId="20461CB2" w14:textId="2122B856" w:rsidR="00C8298B" w:rsidRDefault="00C8298B" w:rsidP="00AD00DA">
      <w:pPr>
        <w:tabs>
          <w:tab w:val="clear" w:pos="709"/>
          <w:tab w:val="left" w:pos="993"/>
          <w:tab w:val="left" w:pos="4820"/>
          <w:tab w:val="left" w:pos="7088"/>
        </w:tabs>
        <w:spacing w:line="480" w:lineRule="auto"/>
      </w:pPr>
    </w:p>
    <w:p w14:paraId="1EF31D61" w14:textId="77777777" w:rsidR="00D801F0" w:rsidRDefault="00D801F0" w:rsidP="00AD00DA">
      <w:pPr>
        <w:tabs>
          <w:tab w:val="clear" w:pos="709"/>
          <w:tab w:val="left" w:pos="993"/>
          <w:tab w:val="left" w:pos="4820"/>
          <w:tab w:val="left" w:pos="7088"/>
        </w:tabs>
        <w:spacing w:line="480" w:lineRule="auto"/>
      </w:pPr>
    </w:p>
    <w:p w14:paraId="58FBB838" w14:textId="77777777" w:rsidR="00CE1A12" w:rsidRPr="00A93126" w:rsidRDefault="00CE1A12" w:rsidP="00AD00DA">
      <w:pPr>
        <w:tabs>
          <w:tab w:val="clear" w:pos="709"/>
          <w:tab w:val="left" w:pos="993"/>
          <w:tab w:val="left" w:pos="4820"/>
          <w:tab w:val="left" w:pos="7088"/>
        </w:tabs>
        <w:spacing w:line="480" w:lineRule="auto"/>
        <w:rPr>
          <w:b/>
          <w:bCs/>
          <w:color w:val="000000"/>
        </w:rPr>
      </w:pPr>
    </w:p>
    <w:p w14:paraId="332DA7F7" w14:textId="77777777" w:rsidR="00A93126" w:rsidRDefault="00A93126" w:rsidP="00A93126">
      <w:pPr>
        <w:pStyle w:val="NormalWeb"/>
        <w:spacing w:before="0" w:beforeAutospacing="0" w:after="0" w:afterAutospacing="0"/>
        <w:rPr>
          <w:rFonts w:ascii="VAG Rounded Std Light" w:hAnsi="VAG Rounded Std Light"/>
          <w:color w:val="000000"/>
          <w:sz w:val="15"/>
          <w:szCs w:val="15"/>
        </w:rPr>
      </w:pPr>
    </w:p>
    <w:sectPr w:rsidR="00A93126" w:rsidSect="00C7396D">
      <w:headerReference w:type="even" r:id="rId8"/>
      <w:headerReference w:type="default" r:id="rId9"/>
      <w:footerReference w:type="even" r:id="rId10"/>
      <w:footerReference w:type="default" r:id="rId11"/>
      <w:headerReference w:type="first" r:id="rId12"/>
      <w:footerReference w:type="first" r:id="rId13"/>
      <w:pgSz w:w="11904" w:h="16836"/>
      <w:pgMar w:top="720" w:right="720" w:bottom="720" w:left="720" w:header="567" w:footer="709"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42D3" w14:textId="77777777" w:rsidR="00873996" w:rsidRDefault="00873996">
      <w:r>
        <w:separator/>
      </w:r>
    </w:p>
  </w:endnote>
  <w:endnote w:type="continuationSeparator" w:id="0">
    <w:p w14:paraId="1D4094D7" w14:textId="77777777" w:rsidR="00873996" w:rsidRDefault="0087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 Rounded Std Thin">
    <w:altName w:val="Calibri"/>
    <w:panose1 w:val="020F0402020204020204"/>
    <w:charset w:val="00"/>
    <w:family w:val="swiss"/>
    <w:notTrueType/>
    <w:pitch w:val="variable"/>
    <w:sig w:usb0="800000AF" w:usb1="4000204A" w:usb2="00000000" w:usb3="00000000" w:csb0="00000001" w:csb1="00000000"/>
  </w:font>
  <w:font w:name="VAG Rounded Std Light">
    <w:altName w:val="Calibri"/>
    <w:panose1 w:val="020F0502020204020204"/>
    <w:charset w:val="00"/>
    <w:family w:val="swiss"/>
    <w:notTrueType/>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VAGRoundedStd-Thin">
    <w:altName w:val="Cambria"/>
    <w:panose1 w:val="00000000000000000000"/>
    <w:charset w:val="4D"/>
    <w:family w:val="swiss"/>
    <w:notTrueType/>
    <w:pitch w:val="variable"/>
    <w:sig w:usb0="00000003" w:usb1="00000000" w:usb2="00000000" w:usb3="00000000" w:csb0="00000001" w:csb1="00000000"/>
  </w:font>
  <w:font w:name="Silka">
    <w:panose1 w:val="000005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8870" w14:textId="77777777" w:rsidR="002B22DE" w:rsidRDefault="002B2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245C" w14:textId="77777777" w:rsidR="00C8298B" w:rsidRPr="00C8298B" w:rsidRDefault="00C8298B" w:rsidP="00C8298B">
    <w:pPr>
      <w:pStyle w:val="NormalWeb"/>
      <w:spacing w:before="0" w:beforeAutospacing="0" w:after="0" w:afterAutospacing="0"/>
      <w:rPr>
        <w:rFonts w:ascii="VAG Rounded Std Thin" w:hAnsi="VAG Rounded Std Thin"/>
        <w:color w:val="000000"/>
        <w:sz w:val="13"/>
        <w:szCs w:val="13"/>
      </w:rPr>
    </w:pPr>
  </w:p>
  <w:p w14:paraId="76638C40" w14:textId="77777777" w:rsidR="00C8298B" w:rsidRPr="00C8298B" w:rsidRDefault="00C8298B" w:rsidP="00C8298B">
    <w:pPr>
      <w:rPr>
        <w:color w:val="000000"/>
        <w:sz w:val="13"/>
        <w:szCs w:val="13"/>
      </w:rPr>
    </w:pPr>
    <w:r w:rsidRPr="00C8298B">
      <w:rPr>
        <w:sz w:val="13"/>
        <w:szCs w:val="13"/>
      </w:rPr>
      <w:t>“</w:t>
    </w:r>
    <w:r w:rsidRPr="00C8298B">
      <w:rPr>
        <w:color w:val="000000"/>
        <w:sz w:val="13"/>
        <w:szCs w:val="13"/>
      </w:rPr>
      <w:t>Nucleus”,</w:t>
    </w:r>
    <w:r w:rsidRPr="00C8298B">
      <w:rPr>
        <w:rFonts w:cs="Calibri"/>
        <w:color w:val="000000"/>
        <w:sz w:val="13"/>
        <w:szCs w:val="13"/>
      </w:rPr>
      <w:t> </w:t>
    </w:r>
    <w:r w:rsidRPr="00C8298B">
      <w:rPr>
        <w:rFonts w:cs="Silka"/>
        <w:color w:val="000000"/>
        <w:sz w:val="13"/>
        <w:szCs w:val="13"/>
      </w:rPr>
      <w:t>“</w:t>
    </w:r>
    <w:r w:rsidRPr="00C8298B">
      <w:rPr>
        <w:color w:val="000000"/>
        <w:sz w:val="13"/>
        <w:szCs w:val="13"/>
      </w:rPr>
      <w:t>NFS” and “Nucleus Financial Services”</w:t>
    </w:r>
    <w:r w:rsidRPr="00C8298B">
      <w:rPr>
        <w:rFonts w:cs="Calibri"/>
        <w:color w:val="000000"/>
        <w:sz w:val="13"/>
        <w:szCs w:val="13"/>
      </w:rPr>
      <w:t> </w:t>
    </w:r>
    <w:r w:rsidRPr="00C8298B">
      <w:rPr>
        <w:color w:val="000000"/>
        <w:sz w:val="13"/>
        <w:szCs w:val="13"/>
      </w:rPr>
      <w:t>are the trading names of Nucleus Financial Services Limited (NFS) (registered in England number 05629686); Nucleus Financial Limited (NF) (registered in England number 05522098); Nucleus Trustee Company Limited (NTC) (registered in Scotland number SC312652); and NFS (Nominees) Limited (NFSN) (registered in England number 07621355).</w:t>
    </w:r>
    <w:r w:rsidRPr="00C8298B">
      <w:rPr>
        <w:rFonts w:cs="Calibri"/>
        <w:color w:val="000000"/>
        <w:sz w:val="13"/>
        <w:szCs w:val="13"/>
      </w:rPr>
      <w:t xml:space="preserve"> </w:t>
    </w:r>
    <w:r w:rsidRPr="00C8298B">
      <w:rPr>
        <w:color w:val="000000"/>
        <w:sz w:val="13"/>
        <w:szCs w:val="13"/>
      </w:rPr>
      <w:t>NFS, NF and NFSN have their registered office at Suite B &amp; C, First Floor, Milford House, 43</w:t>
    </w:r>
    <w:r w:rsidRPr="00C8298B">
      <w:rPr>
        <w:color w:val="000000"/>
        <w:sz w:val="13"/>
        <w:szCs w:val="13"/>
      </w:rPr>
      <w:noBreakHyphen/>
      <w:t xml:space="preserve">55 Milford Street, Salisbury, SP1 2BP. NTC has its registered office at 12 Blenheim Place, Edinburgh EH7 5JH. NFS is authorised and regulated by the Financial Conduct Authority. NFS and NF are members of a VAT group with VAT registration number 514 0358 80. </w:t>
    </w:r>
  </w:p>
  <w:p w14:paraId="6408613E" w14:textId="77777777" w:rsidR="00C8298B" w:rsidRPr="00C8298B" w:rsidRDefault="00C8298B" w:rsidP="00C8298B">
    <w:pPr>
      <w:rPr>
        <w:color w:val="000000"/>
        <w:sz w:val="13"/>
        <w:szCs w:val="13"/>
      </w:rPr>
    </w:pPr>
    <w:r w:rsidRPr="00C8298B">
      <w:rPr>
        <w:color w:val="000000"/>
        <w:sz w:val="13"/>
        <w:szCs w:val="13"/>
      </w:rPr>
      <w:t>NFS, NF, NTC and NFSN are all wholly owned subsidiaries of Nucleus Financial Platforms Limited (registered in England, number 06033126) whose registered office is at Suite B &amp; C, First Floor, Milford House, 43</w:t>
    </w:r>
    <w:r w:rsidRPr="00C8298B">
      <w:rPr>
        <w:color w:val="000000"/>
        <w:sz w:val="13"/>
        <w:szCs w:val="13"/>
      </w:rPr>
      <w:noBreakHyphen/>
      <w:t>55 Milford Street, Salisbury, SP1 2BP. All companies are members of the Nucleus Group. Further details of the Nucleus Group can be found at nucleusfinancial.com. (12/24)</w:t>
    </w:r>
    <w:r>
      <w:rPr>
        <w:color w:val="000000"/>
        <w:sz w:val="13"/>
        <w:szCs w:val="13"/>
      </w:rPr>
      <w:br/>
    </w:r>
  </w:p>
  <w:p w14:paraId="30877A3D" w14:textId="2A50E294" w:rsidR="00C8298B" w:rsidRPr="00C8298B" w:rsidRDefault="00C8298B" w:rsidP="00C8298B">
    <w:pPr>
      <w:pStyle w:val="Footer"/>
      <w:jc w:val="right"/>
      <w:rPr>
        <w:color w:val="000000"/>
        <w:sz w:val="13"/>
        <w:szCs w:val="13"/>
      </w:rPr>
    </w:pPr>
    <w:r w:rsidRPr="00C8298B">
      <w:rPr>
        <w:color w:val="000000"/>
        <w:sz w:val="13"/>
        <w:szCs w:val="13"/>
      </w:rPr>
      <w:t xml:space="preserve">12-2025 </w:t>
    </w:r>
    <w:r w:rsidRPr="00C8298B">
      <w:rPr>
        <w:color w:val="000000"/>
        <w:sz w:val="13"/>
        <w:szCs w:val="13"/>
      </w:rPr>
      <w:br/>
      <w:t>060</w:t>
    </w:r>
    <w:r w:rsidR="002B22DE">
      <w:rPr>
        <w:color w:val="000000"/>
        <w:sz w:val="13"/>
        <w:szCs w:val="13"/>
      </w:rPr>
      <w:t>3</w:t>
    </w:r>
    <w:r w:rsidRPr="00C8298B">
      <w:rPr>
        <w:color w:val="000000"/>
        <w:sz w:val="13"/>
        <w:szCs w:val="13"/>
      </w:rPr>
      <w:t>.0</w:t>
    </w:r>
    <w:r w:rsidR="002B22DE">
      <w:rPr>
        <w:color w:val="000000"/>
        <w:sz w:val="13"/>
        <w:szCs w:val="13"/>
      </w:rPr>
      <w:t>6</w:t>
    </w:r>
  </w:p>
  <w:p w14:paraId="0F1A4E70" w14:textId="77777777" w:rsidR="00FB2548" w:rsidRDefault="00FB2548">
    <w:pPr>
      <w:pStyle w:val="Footer"/>
    </w:pPr>
    <w:r>
      <w:rPr>
        <w:rStyle w:val="PageNumber"/>
        <w:b/>
        <w:color w:val="F06C23"/>
      </w:rPr>
      <w:t>|</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F71E2">
      <w:rPr>
        <w:rStyle w:val="PageNumber"/>
        <w:noProof/>
      </w:rPr>
      <w:t>2</w:t>
    </w:r>
    <w:r>
      <w:rPr>
        <w:rStyle w:val="PageNumber"/>
      </w:rPr>
      <w:fldChar w:fldCharType="end"/>
    </w:r>
    <w:r>
      <w:rPr>
        <w:rStyle w:val="PageNumber"/>
      </w:rPr>
      <w:t xml:space="preserve"> </w:t>
    </w:r>
    <w:r>
      <w:rPr>
        <w:rStyle w:val="PageNumber"/>
        <w:b/>
        <w:color w:val="F06C23"/>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D2B7" w14:textId="77777777" w:rsidR="00355410" w:rsidRDefault="00355410" w:rsidP="00355410">
    <w:pPr>
      <w:pStyle w:val="Footer"/>
      <w:ind w:left="7920" w:right="-1418"/>
      <w:jc w:val="left"/>
    </w:pPr>
  </w:p>
  <w:p w14:paraId="0D5C2215" w14:textId="77777777" w:rsidR="00355410" w:rsidRDefault="00355410" w:rsidP="00355410">
    <w:pPr>
      <w:pStyle w:val="Footer"/>
      <w:ind w:left="7920" w:right="-1418"/>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A39E" w14:textId="77777777" w:rsidR="00873996" w:rsidRDefault="00873996">
      <w:r>
        <w:separator/>
      </w:r>
    </w:p>
  </w:footnote>
  <w:footnote w:type="continuationSeparator" w:id="0">
    <w:p w14:paraId="65123802" w14:textId="77777777" w:rsidR="00873996" w:rsidRDefault="0087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342" w14:textId="77777777" w:rsidR="002B22DE" w:rsidRDefault="002B2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8B45" w14:textId="77777777" w:rsidR="002B22DE" w:rsidRDefault="002B2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45D2" w14:textId="77777777" w:rsidR="00FB2548" w:rsidRPr="00F40837" w:rsidRDefault="00A81656" w:rsidP="00A81656">
    <w:pPr>
      <w:pStyle w:val="Header"/>
      <w:spacing w:after="1000"/>
      <w:ind w:left="7371"/>
    </w:pPr>
    <w:r>
      <w:rPr>
        <w:noProof/>
        <w:lang w:val="en-US"/>
      </w:rPr>
      <w:drawing>
        <wp:inline distT="0" distB="0" distL="0" distR="0" wp14:anchorId="3DA484A0" wp14:editId="6B80D30D">
          <wp:extent cx="1424053" cy="32427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leus_logo_s.jpg"/>
                  <pic:cNvPicPr/>
                </pic:nvPicPr>
                <pic:blipFill>
                  <a:blip r:embed="rId1">
                    <a:extLst>
                      <a:ext uri="{28A0092B-C50C-407E-A947-70E740481C1C}">
                        <a14:useLocalDpi xmlns:a14="http://schemas.microsoft.com/office/drawing/2010/main" val="0"/>
                      </a:ext>
                    </a:extLst>
                  </a:blip>
                  <a:stretch>
                    <a:fillRect/>
                  </a:stretch>
                </pic:blipFill>
                <pic:spPr>
                  <a:xfrm>
                    <a:off x="0" y="0"/>
                    <a:ext cx="1425540" cy="324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5E41C8"/>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FC8C0A4"/>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200A5DE"/>
    <w:lvl w:ilvl="0">
      <w:start w:val="1"/>
      <w:numFmt w:val="decimal"/>
      <w:pStyle w:val="ListNumber"/>
      <w:lvlText w:val="%1"/>
      <w:lvlJc w:val="left"/>
      <w:pPr>
        <w:tabs>
          <w:tab w:val="num" w:pos="709"/>
        </w:tabs>
        <w:ind w:left="709" w:hanging="709"/>
      </w:pPr>
      <w:rPr>
        <w:rFonts w:hint="default"/>
        <w:color w:val="F06C23"/>
      </w:rPr>
    </w:lvl>
  </w:abstractNum>
  <w:abstractNum w:abstractNumId="3" w15:restartNumberingAfterBreak="0">
    <w:nsid w:val="FFFFFF89"/>
    <w:multiLevelType w:val="singleLevel"/>
    <w:tmpl w:val="3E9A0A84"/>
    <w:lvl w:ilvl="0">
      <w:start w:val="1"/>
      <w:numFmt w:val="bullet"/>
      <w:pStyle w:val="ListBullet"/>
      <w:lvlText w:val=""/>
      <w:lvlJc w:val="left"/>
      <w:pPr>
        <w:tabs>
          <w:tab w:val="num" w:pos="360"/>
        </w:tabs>
        <w:ind w:left="0" w:firstLine="0"/>
      </w:pPr>
      <w:rPr>
        <w:rFonts w:ascii="Symbol" w:hAnsi="Symbol" w:hint="default"/>
        <w:color w:val="F06C23"/>
      </w:rPr>
    </w:lvl>
  </w:abstractNum>
  <w:abstractNum w:abstractNumId="4" w15:restartNumberingAfterBreak="0">
    <w:nsid w:val="00D47EFE"/>
    <w:multiLevelType w:val="hybridMultilevel"/>
    <w:tmpl w:val="45AC41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D4FA5"/>
    <w:multiLevelType w:val="hybridMultilevel"/>
    <w:tmpl w:val="4B545982"/>
    <w:lvl w:ilvl="0" w:tplc="7494D5E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F43A01"/>
    <w:multiLevelType w:val="hybridMultilevel"/>
    <w:tmpl w:val="CDCA6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D841DA"/>
    <w:multiLevelType w:val="hybridMultilevel"/>
    <w:tmpl w:val="2064F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EE2208"/>
    <w:multiLevelType w:val="hybridMultilevel"/>
    <w:tmpl w:val="83408F54"/>
    <w:lvl w:ilvl="0" w:tplc="0F660C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9F5249B"/>
    <w:multiLevelType w:val="hybridMultilevel"/>
    <w:tmpl w:val="EAF0B2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B35028"/>
    <w:multiLevelType w:val="hybridMultilevel"/>
    <w:tmpl w:val="B86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4133D"/>
    <w:multiLevelType w:val="hybridMultilevel"/>
    <w:tmpl w:val="8A92871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191612E8"/>
    <w:multiLevelType w:val="hybridMultilevel"/>
    <w:tmpl w:val="F6EA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93F9D"/>
    <w:multiLevelType w:val="hybridMultilevel"/>
    <w:tmpl w:val="773E2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8B2B48"/>
    <w:multiLevelType w:val="hybridMultilevel"/>
    <w:tmpl w:val="9E70D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07304"/>
    <w:multiLevelType w:val="hybridMultilevel"/>
    <w:tmpl w:val="5566828E"/>
    <w:lvl w:ilvl="0" w:tplc="7494D5E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42661"/>
    <w:multiLevelType w:val="hybridMultilevel"/>
    <w:tmpl w:val="2AB6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9430AA"/>
    <w:multiLevelType w:val="hybridMultilevel"/>
    <w:tmpl w:val="4D5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14F65"/>
    <w:multiLevelType w:val="hybridMultilevel"/>
    <w:tmpl w:val="ED8A6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80385D"/>
    <w:multiLevelType w:val="hybridMultilevel"/>
    <w:tmpl w:val="197E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EC737A"/>
    <w:multiLevelType w:val="hybridMultilevel"/>
    <w:tmpl w:val="AC6E8680"/>
    <w:lvl w:ilvl="0" w:tplc="5024081E">
      <w:numFmt w:val="bullet"/>
      <w:lvlText w:val="•"/>
      <w:lvlJc w:val="left"/>
      <w:pPr>
        <w:ind w:left="827" w:hanging="360"/>
      </w:pPr>
      <w:rPr>
        <w:rFonts w:ascii="Symbol" w:eastAsia="Symbol" w:hAnsi="Symbol" w:cs="Symbol" w:hint="default"/>
        <w:w w:val="101"/>
        <w:sz w:val="18"/>
        <w:szCs w:val="18"/>
      </w:rPr>
    </w:lvl>
    <w:lvl w:ilvl="1" w:tplc="D528DB62">
      <w:numFmt w:val="bullet"/>
      <w:lvlText w:val="•"/>
      <w:lvlJc w:val="left"/>
      <w:pPr>
        <w:ind w:left="1740" w:hanging="360"/>
      </w:pPr>
      <w:rPr>
        <w:rFonts w:hint="default"/>
      </w:rPr>
    </w:lvl>
    <w:lvl w:ilvl="2" w:tplc="D1DC944E">
      <w:numFmt w:val="bullet"/>
      <w:lvlText w:val="•"/>
      <w:lvlJc w:val="left"/>
      <w:pPr>
        <w:ind w:left="2661" w:hanging="360"/>
      </w:pPr>
      <w:rPr>
        <w:rFonts w:hint="default"/>
      </w:rPr>
    </w:lvl>
    <w:lvl w:ilvl="3" w:tplc="1CDA1BB4">
      <w:numFmt w:val="bullet"/>
      <w:lvlText w:val="•"/>
      <w:lvlJc w:val="left"/>
      <w:pPr>
        <w:ind w:left="3581" w:hanging="360"/>
      </w:pPr>
      <w:rPr>
        <w:rFonts w:hint="default"/>
      </w:rPr>
    </w:lvl>
    <w:lvl w:ilvl="4" w:tplc="0EC87F22">
      <w:numFmt w:val="bullet"/>
      <w:lvlText w:val="•"/>
      <w:lvlJc w:val="left"/>
      <w:pPr>
        <w:ind w:left="4502" w:hanging="360"/>
      </w:pPr>
      <w:rPr>
        <w:rFonts w:hint="default"/>
      </w:rPr>
    </w:lvl>
    <w:lvl w:ilvl="5" w:tplc="E28E0582">
      <w:numFmt w:val="bullet"/>
      <w:lvlText w:val="•"/>
      <w:lvlJc w:val="left"/>
      <w:pPr>
        <w:ind w:left="5422" w:hanging="360"/>
      </w:pPr>
      <w:rPr>
        <w:rFonts w:hint="default"/>
      </w:rPr>
    </w:lvl>
    <w:lvl w:ilvl="6" w:tplc="AB3A5C9E">
      <w:numFmt w:val="bullet"/>
      <w:lvlText w:val="•"/>
      <w:lvlJc w:val="left"/>
      <w:pPr>
        <w:ind w:left="6343" w:hanging="360"/>
      </w:pPr>
      <w:rPr>
        <w:rFonts w:hint="default"/>
      </w:rPr>
    </w:lvl>
    <w:lvl w:ilvl="7" w:tplc="B5BC7AD4">
      <w:numFmt w:val="bullet"/>
      <w:lvlText w:val="•"/>
      <w:lvlJc w:val="left"/>
      <w:pPr>
        <w:ind w:left="7263" w:hanging="360"/>
      </w:pPr>
      <w:rPr>
        <w:rFonts w:hint="default"/>
      </w:rPr>
    </w:lvl>
    <w:lvl w:ilvl="8" w:tplc="91E0D0B8">
      <w:numFmt w:val="bullet"/>
      <w:lvlText w:val="•"/>
      <w:lvlJc w:val="left"/>
      <w:pPr>
        <w:ind w:left="8184" w:hanging="360"/>
      </w:pPr>
      <w:rPr>
        <w:rFonts w:hint="default"/>
      </w:rPr>
    </w:lvl>
  </w:abstractNum>
  <w:abstractNum w:abstractNumId="21" w15:restartNumberingAfterBreak="0">
    <w:nsid w:val="27133F0B"/>
    <w:multiLevelType w:val="hybridMultilevel"/>
    <w:tmpl w:val="961E97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28727C"/>
    <w:multiLevelType w:val="hybridMultilevel"/>
    <w:tmpl w:val="89620F46"/>
    <w:lvl w:ilvl="0" w:tplc="D3260202">
      <w:start w:val="1"/>
      <w:numFmt w:val="bullet"/>
      <w:lvlText w:val=""/>
      <w:lvlJc w:val="left"/>
      <w:pPr>
        <w:ind w:left="360" w:hanging="360"/>
      </w:pPr>
      <w:rPr>
        <w:rFonts w:ascii="Symbol" w:hAnsi="Symbol" w:hint="default"/>
        <w:color w:val="F06C23"/>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7913C4"/>
    <w:multiLevelType w:val="hybridMultilevel"/>
    <w:tmpl w:val="53541542"/>
    <w:lvl w:ilvl="0" w:tplc="0809000F">
      <w:start w:val="1"/>
      <w:numFmt w:val="decimal"/>
      <w:lvlText w:val="%1."/>
      <w:lvlJc w:val="left"/>
      <w:pPr>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2B7B59F9"/>
    <w:multiLevelType w:val="hybridMultilevel"/>
    <w:tmpl w:val="4A18DC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E52BAE"/>
    <w:multiLevelType w:val="hybridMultilevel"/>
    <w:tmpl w:val="BB6A76DC"/>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6" w15:restartNumberingAfterBreak="0">
    <w:nsid w:val="331B4AF3"/>
    <w:multiLevelType w:val="hybridMultilevel"/>
    <w:tmpl w:val="D44AC656"/>
    <w:lvl w:ilvl="0" w:tplc="609CBCBA">
      <w:start w:val="1"/>
      <w:numFmt w:val="decimal"/>
      <w:lvlText w:val="%1."/>
      <w:lvlJc w:val="left"/>
      <w:pPr>
        <w:ind w:left="360" w:hanging="360"/>
      </w:pPr>
      <w:rPr>
        <w:rFonts w:hint="default"/>
      </w:r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7" w15:restartNumberingAfterBreak="0">
    <w:nsid w:val="33475D1F"/>
    <w:multiLevelType w:val="hybridMultilevel"/>
    <w:tmpl w:val="958C9222"/>
    <w:lvl w:ilvl="0" w:tplc="7494D5E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A75FBA"/>
    <w:multiLevelType w:val="hybridMultilevel"/>
    <w:tmpl w:val="5C92E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060046"/>
    <w:multiLevelType w:val="hybridMultilevel"/>
    <w:tmpl w:val="3288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9B4E77"/>
    <w:multiLevelType w:val="hybridMultilevel"/>
    <w:tmpl w:val="31981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9B35D6"/>
    <w:multiLevelType w:val="hybridMultilevel"/>
    <w:tmpl w:val="FE5C9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7A4110"/>
    <w:multiLevelType w:val="hybridMultilevel"/>
    <w:tmpl w:val="35B4A302"/>
    <w:lvl w:ilvl="0" w:tplc="7494D5E8">
      <w:start w:val="13"/>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052878"/>
    <w:multiLevelType w:val="hybridMultilevel"/>
    <w:tmpl w:val="E2EE8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6C0D5E"/>
    <w:multiLevelType w:val="hybridMultilevel"/>
    <w:tmpl w:val="FEC2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EC6923"/>
    <w:multiLevelType w:val="hybridMultilevel"/>
    <w:tmpl w:val="894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396794"/>
    <w:multiLevelType w:val="hybridMultilevel"/>
    <w:tmpl w:val="E612DD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104E39"/>
    <w:multiLevelType w:val="hybridMultilevel"/>
    <w:tmpl w:val="10804E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121DBF"/>
    <w:multiLevelType w:val="hybridMultilevel"/>
    <w:tmpl w:val="C670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F5DA6"/>
    <w:multiLevelType w:val="hybridMultilevel"/>
    <w:tmpl w:val="6634543A"/>
    <w:lvl w:ilvl="0" w:tplc="26748B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F20D80"/>
    <w:multiLevelType w:val="hybridMultilevel"/>
    <w:tmpl w:val="55EA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F2276"/>
    <w:multiLevelType w:val="hybridMultilevel"/>
    <w:tmpl w:val="67886B6C"/>
    <w:lvl w:ilvl="0" w:tplc="7F009E4C">
      <w:numFmt w:val="bullet"/>
      <w:lvlText w:val="•"/>
      <w:lvlJc w:val="left"/>
      <w:pPr>
        <w:ind w:left="918" w:hanging="358"/>
      </w:pPr>
      <w:rPr>
        <w:rFonts w:ascii="Symbol" w:eastAsia="Symbol" w:hAnsi="Symbol" w:cs="Symbol" w:hint="default"/>
        <w:w w:val="101"/>
        <w:sz w:val="18"/>
        <w:szCs w:val="18"/>
      </w:rPr>
    </w:lvl>
    <w:lvl w:ilvl="1" w:tplc="5A6A2546">
      <w:numFmt w:val="bullet"/>
      <w:lvlText w:val="•"/>
      <w:lvlJc w:val="left"/>
      <w:pPr>
        <w:ind w:left="1830" w:hanging="358"/>
      </w:pPr>
      <w:rPr>
        <w:rFonts w:hint="default"/>
      </w:rPr>
    </w:lvl>
    <w:lvl w:ilvl="2" w:tplc="7C30BD96">
      <w:numFmt w:val="bullet"/>
      <w:lvlText w:val="•"/>
      <w:lvlJc w:val="left"/>
      <w:pPr>
        <w:ind w:left="2741" w:hanging="358"/>
      </w:pPr>
      <w:rPr>
        <w:rFonts w:hint="default"/>
      </w:rPr>
    </w:lvl>
    <w:lvl w:ilvl="3" w:tplc="C55866B6">
      <w:numFmt w:val="bullet"/>
      <w:lvlText w:val="•"/>
      <w:lvlJc w:val="left"/>
      <w:pPr>
        <w:ind w:left="3651" w:hanging="358"/>
      </w:pPr>
      <w:rPr>
        <w:rFonts w:hint="default"/>
      </w:rPr>
    </w:lvl>
    <w:lvl w:ilvl="4" w:tplc="DAB02E0A">
      <w:numFmt w:val="bullet"/>
      <w:lvlText w:val="•"/>
      <w:lvlJc w:val="left"/>
      <w:pPr>
        <w:ind w:left="4562" w:hanging="358"/>
      </w:pPr>
      <w:rPr>
        <w:rFonts w:hint="default"/>
      </w:rPr>
    </w:lvl>
    <w:lvl w:ilvl="5" w:tplc="7A6C25A4">
      <w:numFmt w:val="bullet"/>
      <w:lvlText w:val="•"/>
      <w:lvlJc w:val="left"/>
      <w:pPr>
        <w:ind w:left="5472" w:hanging="358"/>
      </w:pPr>
      <w:rPr>
        <w:rFonts w:hint="default"/>
      </w:rPr>
    </w:lvl>
    <w:lvl w:ilvl="6" w:tplc="61D24D8A">
      <w:numFmt w:val="bullet"/>
      <w:lvlText w:val="•"/>
      <w:lvlJc w:val="left"/>
      <w:pPr>
        <w:ind w:left="6383" w:hanging="358"/>
      </w:pPr>
      <w:rPr>
        <w:rFonts w:hint="default"/>
      </w:rPr>
    </w:lvl>
    <w:lvl w:ilvl="7" w:tplc="36DE425A">
      <w:numFmt w:val="bullet"/>
      <w:lvlText w:val="•"/>
      <w:lvlJc w:val="left"/>
      <w:pPr>
        <w:ind w:left="7293" w:hanging="358"/>
      </w:pPr>
      <w:rPr>
        <w:rFonts w:hint="default"/>
      </w:rPr>
    </w:lvl>
    <w:lvl w:ilvl="8" w:tplc="FFDADFEC">
      <w:numFmt w:val="bullet"/>
      <w:lvlText w:val="•"/>
      <w:lvlJc w:val="left"/>
      <w:pPr>
        <w:ind w:left="8204" w:hanging="358"/>
      </w:pPr>
      <w:rPr>
        <w:rFonts w:hint="default"/>
      </w:rPr>
    </w:lvl>
  </w:abstractNum>
  <w:abstractNum w:abstractNumId="42" w15:restartNumberingAfterBreak="0">
    <w:nsid w:val="644B6B93"/>
    <w:multiLevelType w:val="hybridMultilevel"/>
    <w:tmpl w:val="CD76BC02"/>
    <w:lvl w:ilvl="0" w:tplc="71EA7E7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BE4AF6"/>
    <w:multiLevelType w:val="hybridMultilevel"/>
    <w:tmpl w:val="274E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10F65"/>
    <w:multiLevelType w:val="hybridMultilevel"/>
    <w:tmpl w:val="952C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F043C"/>
    <w:multiLevelType w:val="hybridMultilevel"/>
    <w:tmpl w:val="19B20D20"/>
    <w:lvl w:ilvl="0" w:tplc="4712F590">
      <w:start w:val="10"/>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9D24F1B"/>
    <w:multiLevelType w:val="hybridMultilevel"/>
    <w:tmpl w:val="BA8AC98E"/>
    <w:lvl w:ilvl="0" w:tplc="7DF81BF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E4775E"/>
    <w:multiLevelType w:val="hybridMultilevel"/>
    <w:tmpl w:val="45D08E9C"/>
    <w:lvl w:ilvl="0" w:tplc="7494D5E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827CD3"/>
    <w:multiLevelType w:val="hybridMultilevel"/>
    <w:tmpl w:val="F2C8874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387264946">
    <w:abstractNumId w:val="3"/>
  </w:num>
  <w:num w:numId="2" w16cid:durableId="1632127883">
    <w:abstractNumId w:val="2"/>
  </w:num>
  <w:num w:numId="3" w16cid:durableId="149906321">
    <w:abstractNumId w:val="1"/>
  </w:num>
  <w:num w:numId="4" w16cid:durableId="1304849535">
    <w:abstractNumId w:val="0"/>
  </w:num>
  <w:num w:numId="5" w16cid:durableId="566308858">
    <w:abstractNumId w:val="24"/>
  </w:num>
  <w:num w:numId="6" w16cid:durableId="559946243">
    <w:abstractNumId w:val="26"/>
  </w:num>
  <w:num w:numId="7" w16cid:durableId="263390305">
    <w:abstractNumId w:val="18"/>
  </w:num>
  <w:num w:numId="8" w16cid:durableId="2100564811">
    <w:abstractNumId w:val="37"/>
  </w:num>
  <w:num w:numId="9" w16cid:durableId="1439711601">
    <w:abstractNumId w:val="23"/>
  </w:num>
  <w:num w:numId="10" w16cid:durableId="1393772678">
    <w:abstractNumId w:val="7"/>
  </w:num>
  <w:num w:numId="11" w16cid:durableId="1311515429">
    <w:abstractNumId w:val="30"/>
  </w:num>
  <w:num w:numId="12" w16cid:durableId="2099868716">
    <w:abstractNumId w:val="10"/>
  </w:num>
  <w:num w:numId="13" w16cid:durableId="2033257926">
    <w:abstractNumId w:val="35"/>
  </w:num>
  <w:num w:numId="14" w16cid:durableId="1512061417">
    <w:abstractNumId w:val="9"/>
  </w:num>
  <w:num w:numId="15" w16cid:durableId="1548681843">
    <w:abstractNumId w:val="28"/>
  </w:num>
  <w:num w:numId="16" w16cid:durableId="1823345625">
    <w:abstractNumId w:val="8"/>
  </w:num>
  <w:num w:numId="17" w16cid:durableId="876159210">
    <w:abstractNumId w:val="12"/>
  </w:num>
  <w:num w:numId="18" w16cid:durableId="1724984688">
    <w:abstractNumId w:val="6"/>
  </w:num>
  <w:num w:numId="19" w16cid:durableId="970131944">
    <w:abstractNumId w:val="36"/>
  </w:num>
  <w:num w:numId="20" w16cid:durableId="1836533201">
    <w:abstractNumId w:val="4"/>
  </w:num>
  <w:num w:numId="21" w16cid:durableId="1238518796">
    <w:abstractNumId w:val="21"/>
  </w:num>
  <w:num w:numId="22" w16cid:durableId="1294170656">
    <w:abstractNumId w:val="33"/>
  </w:num>
  <w:num w:numId="23" w16cid:durableId="174737346">
    <w:abstractNumId w:val="16"/>
  </w:num>
  <w:num w:numId="24" w16cid:durableId="1423988271">
    <w:abstractNumId w:val="31"/>
  </w:num>
  <w:num w:numId="25" w16cid:durableId="407310726">
    <w:abstractNumId w:val="13"/>
  </w:num>
  <w:num w:numId="26" w16cid:durableId="1234390710">
    <w:abstractNumId w:val="38"/>
  </w:num>
  <w:num w:numId="27" w16cid:durableId="1161383037">
    <w:abstractNumId w:val="5"/>
  </w:num>
  <w:num w:numId="28" w16cid:durableId="1746340461">
    <w:abstractNumId w:val="25"/>
  </w:num>
  <w:num w:numId="29" w16cid:durableId="278488956">
    <w:abstractNumId w:val="11"/>
  </w:num>
  <w:num w:numId="30" w16cid:durableId="1092702578">
    <w:abstractNumId w:val="32"/>
  </w:num>
  <w:num w:numId="31" w16cid:durableId="1805611481">
    <w:abstractNumId w:val="29"/>
  </w:num>
  <w:num w:numId="32" w16cid:durableId="25834328">
    <w:abstractNumId w:val="15"/>
  </w:num>
  <w:num w:numId="33" w16cid:durableId="1082066060">
    <w:abstractNumId w:val="40"/>
  </w:num>
  <w:num w:numId="34" w16cid:durableId="865219391">
    <w:abstractNumId w:val="34"/>
  </w:num>
  <w:num w:numId="35" w16cid:durableId="1099257059">
    <w:abstractNumId w:val="47"/>
  </w:num>
  <w:num w:numId="36" w16cid:durableId="585458054">
    <w:abstractNumId w:val="27"/>
  </w:num>
  <w:num w:numId="37" w16cid:durableId="165944812">
    <w:abstractNumId w:val="44"/>
  </w:num>
  <w:num w:numId="38" w16cid:durableId="1341541355">
    <w:abstractNumId w:val="43"/>
  </w:num>
  <w:num w:numId="39" w16cid:durableId="487137823">
    <w:abstractNumId w:val="14"/>
  </w:num>
  <w:num w:numId="40" w16cid:durableId="1948803615">
    <w:abstractNumId w:val="48"/>
  </w:num>
  <w:num w:numId="41" w16cid:durableId="407312908">
    <w:abstractNumId w:val="46"/>
  </w:num>
  <w:num w:numId="42" w16cid:durableId="1064180443">
    <w:abstractNumId w:val="39"/>
  </w:num>
  <w:num w:numId="43" w16cid:durableId="1700664286">
    <w:abstractNumId w:val="42"/>
  </w:num>
  <w:num w:numId="44" w16cid:durableId="1922568968">
    <w:abstractNumId w:val="45"/>
  </w:num>
  <w:num w:numId="45" w16cid:durableId="2133669801">
    <w:abstractNumId w:val="45"/>
  </w:num>
  <w:num w:numId="46" w16cid:durableId="479462796">
    <w:abstractNumId w:val="19"/>
  </w:num>
  <w:num w:numId="47" w16cid:durableId="801196245">
    <w:abstractNumId w:val="17"/>
  </w:num>
  <w:num w:numId="48" w16cid:durableId="92091514">
    <w:abstractNumId w:val="41"/>
  </w:num>
  <w:num w:numId="49" w16cid:durableId="169610877">
    <w:abstractNumId w:val="20"/>
  </w:num>
  <w:num w:numId="50" w16cid:durableId="9835853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5E"/>
    <w:rsid w:val="00001B25"/>
    <w:rsid w:val="00023A08"/>
    <w:rsid w:val="0002537B"/>
    <w:rsid w:val="00040F4A"/>
    <w:rsid w:val="00047101"/>
    <w:rsid w:val="000622BA"/>
    <w:rsid w:val="000630A6"/>
    <w:rsid w:val="00063C29"/>
    <w:rsid w:val="000805D6"/>
    <w:rsid w:val="000C2120"/>
    <w:rsid w:val="000D0BA8"/>
    <w:rsid w:val="00103F3F"/>
    <w:rsid w:val="00113208"/>
    <w:rsid w:val="00126108"/>
    <w:rsid w:val="00130661"/>
    <w:rsid w:val="00143D94"/>
    <w:rsid w:val="00153087"/>
    <w:rsid w:val="001652B2"/>
    <w:rsid w:val="00184AB7"/>
    <w:rsid w:val="001B26DA"/>
    <w:rsid w:val="001B5D17"/>
    <w:rsid w:val="001C1015"/>
    <w:rsid w:val="001E15E9"/>
    <w:rsid w:val="00203304"/>
    <w:rsid w:val="0021565F"/>
    <w:rsid w:val="00243BBA"/>
    <w:rsid w:val="0024466F"/>
    <w:rsid w:val="00253C52"/>
    <w:rsid w:val="00267DE9"/>
    <w:rsid w:val="00273A5E"/>
    <w:rsid w:val="0027418C"/>
    <w:rsid w:val="002749D9"/>
    <w:rsid w:val="00295CCB"/>
    <w:rsid w:val="002A3266"/>
    <w:rsid w:val="002B22DE"/>
    <w:rsid w:val="002E0651"/>
    <w:rsid w:val="002F23F0"/>
    <w:rsid w:val="002F4C53"/>
    <w:rsid w:val="00307137"/>
    <w:rsid w:val="003173FF"/>
    <w:rsid w:val="00355410"/>
    <w:rsid w:val="0037660E"/>
    <w:rsid w:val="00380FEF"/>
    <w:rsid w:val="00384CA3"/>
    <w:rsid w:val="003939D6"/>
    <w:rsid w:val="003A2B94"/>
    <w:rsid w:val="003A5B89"/>
    <w:rsid w:val="003C4D6C"/>
    <w:rsid w:val="003C7D43"/>
    <w:rsid w:val="003D6E23"/>
    <w:rsid w:val="003E629B"/>
    <w:rsid w:val="003F257E"/>
    <w:rsid w:val="003F51D4"/>
    <w:rsid w:val="003F71E2"/>
    <w:rsid w:val="004030ED"/>
    <w:rsid w:val="0042603C"/>
    <w:rsid w:val="004441B8"/>
    <w:rsid w:val="004509B4"/>
    <w:rsid w:val="004547A9"/>
    <w:rsid w:val="00454AC9"/>
    <w:rsid w:val="00460E28"/>
    <w:rsid w:val="00467F5D"/>
    <w:rsid w:val="00480B0D"/>
    <w:rsid w:val="0048204A"/>
    <w:rsid w:val="00491F93"/>
    <w:rsid w:val="004A1059"/>
    <w:rsid w:val="004D1281"/>
    <w:rsid w:val="004D3960"/>
    <w:rsid w:val="004D61DC"/>
    <w:rsid w:val="004E6AA0"/>
    <w:rsid w:val="004E6EFE"/>
    <w:rsid w:val="0057747D"/>
    <w:rsid w:val="005C3E7B"/>
    <w:rsid w:val="005C41FD"/>
    <w:rsid w:val="005D579F"/>
    <w:rsid w:val="006048F5"/>
    <w:rsid w:val="00610B72"/>
    <w:rsid w:val="00624BC3"/>
    <w:rsid w:val="00633BB0"/>
    <w:rsid w:val="0063664D"/>
    <w:rsid w:val="00637CEF"/>
    <w:rsid w:val="00660B70"/>
    <w:rsid w:val="0066418F"/>
    <w:rsid w:val="00687443"/>
    <w:rsid w:val="00697B58"/>
    <w:rsid w:val="006B121F"/>
    <w:rsid w:val="006B461B"/>
    <w:rsid w:val="006C032F"/>
    <w:rsid w:val="006F0F28"/>
    <w:rsid w:val="00703C3B"/>
    <w:rsid w:val="00736691"/>
    <w:rsid w:val="00747AAD"/>
    <w:rsid w:val="007511C3"/>
    <w:rsid w:val="00751740"/>
    <w:rsid w:val="00751DD5"/>
    <w:rsid w:val="0075463A"/>
    <w:rsid w:val="00761B72"/>
    <w:rsid w:val="00781791"/>
    <w:rsid w:val="00783B3F"/>
    <w:rsid w:val="007B3990"/>
    <w:rsid w:val="007C4425"/>
    <w:rsid w:val="007E22DF"/>
    <w:rsid w:val="007E7718"/>
    <w:rsid w:val="008065D8"/>
    <w:rsid w:val="00812022"/>
    <w:rsid w:val="00827C2A"/>
    <w:rsid w:val="008519D0"/>
    <w:rsid w:val="00855085"/>
    <w:rsid w:val="00873996"/>
    <w:rsid w:val="008D001D"/>
    <w:rsid w:val="008D00CD"/>
    <w:rsid w:val="009236C8"/>
    <w:rsid w:val="00924EBF"/>
    <w:rsid w:val="0092552F"/>
    <w:rsid w:val="00940DCE"/>
    <w:rsid w:val="00971150"/>
    <w:rsid w:val="0097597D"/>
    <w:rsid w:val="00993C8F"/>
    <w:rsid w:val="009B1ABB"/>
    <w:rsid w:val="009B29EF"/>
    <w:rsid w:val="009B39BE"/>
    <w:rsid w:val="009B5366"/>
    <w:rsid w:val="009C3483"/>
    <w:rsid w:val="009F4613"/>
    <w:rsid w:val="009F6505"/>
    <w:rsid w:val="009F755D"/>
    <w:rsid w:val="00A262FB"/>
    <w:rsid w:val="00A27785"/>
    <w:rsid w:val="00A407C7"/>
    <w:rsid w:val="00A81656"/>
    <w:rsid w:val="00A93126"/>
    <w:rsid w:val="00AA51E4"/>
    <w:rsid w:val="00AB0C75"/>
    <w:rsid w:val="00AC76AF"/>
    <w:rsid w:val="00AD00DA"/>
    <w:rsid w:val="00AD495D"/>
    <w:rsid w:val="00B52486"/>
    <w:rsid w:val="00B54319"/>
    <w:rsid w:val="00B5503F"/>
    <w:rsid w:val="00B57464"/>
    <w:rsid w:val="00B624E8"/>
    <w:rsid w:val="00B77195"/>
    <w:rsid w:val="00BC4976"/>
    <w:rsid w:val="00BF4E99"/>
    <w:rsid w:val="00C00C2A"/>
    <w:rsid w:val="00C113E7"/>
    <w:rsid w:val="00C21747"/>
    <w:rsid w:val="00C24DAE"/>
    <w:rsid w:val="00C308FF"/>
    <w:rsid w:val="00C4224F"/>
    <w:rsid w:val="00C42AF6"/>
    <w:rsid w:val="00C5537B"/>
    <w:rsid w:val="00C6570D"/>
    <w:rsid w:val="00C671F9"/>
    <w:rsid w:val="00C7396D"/>
    <w:rsid w:val="00C80941"/>
    <w:rsid w:val="00C8298B"/>
    <w:rsid w:val="00C94C88"/>
    <w:rsid w:val="00C9684D"/>
    <w:rsid w:val="00CA6430"/>
    <w:rsid w:val="00CD035E"/>
    <w:rsid w:val="00CD1BCD"/>
    <w:rsid w:val="00CD1DB6"/>
    <w:rsid w:val="00CE0D14"/>
    <w:rsid w:val="00CE1A12"/>
    <w:rsid w:val="00CF0BF7"/>
    <w:rsid w:val="00D00434"/>
    <w:rsid w:val="00D325CD"/>
    <w:rsid w:val="00D361F0"/>
    <w:rsid w:val="00D414F6"/>
    <w:rsid w:val="00D465F6"/>
    <w:rsid w:val="00D54782"/>
    <w:rsid w:val="00D62172"/>
    <w:rsid w:val="00D73CB0"/>
    <w:rsid w:val="00D73F54"/>
    <w:rsid w:val="00D801F0"/>
    <w:rsid w:val="00D90920"/>
    <w:rsid w:val="00D91B47"/>
    <w:rsid w:val="00DA74EB"/>
    <w:rsid w:val="00DB590D"/>
    <w:rsid w:val="00DC1794"/>
    <w:rsid w:val="00DD01C1"/>
    <w:rsid w:val="00DD14D8"/>
    <w:rsid w:val="00DD362E"/>
    <w:rsid w:val="00DD6A59"/>
    <w:rsid w:val="00E30CB5"/>
    <w:rsid w:val="00E31D1D"/>
    <w:rsid w:val="00E51710"/>
    <w:rsid w:val="00E92B46"/>
    <w:rsid w:val="00E9588F"/>
    <w:rsid w:val="00EA6E60"/>
    <w:rsid w:val="00EB20A2"/>
    <w:rsid w:val="00EB5AE8"/>
    <w:rsid w:val="00ED780C"/>
    <w:rsid w:val="00EE5505"/>
    <w:rsid w:val="00EF5B37"/>
    <w:rsid w:val="00F43593"/>
    <w:rsid w:val="00F716BF"/>
    <w:rsid w:val="00F746AA"/>
    <w:rsid w:val="00F95280"/>
    <w:rsid w:val="00FA73E8"/>
    <w:rsid w:val="00FB2548"/>
    <w:rsid w:val="00FB2EB3"/>
    <w:rsid w:val="00FB5419"/>
    <w:rsid w:val="00FE0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9120C7"/>
  <w14:defaultImageDpi w14:val="300"/>
  <w15:docId w15:val="{896A7FC1-9303-3640-98A3-F50391C7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13"/>
    <w:pPr>
      <w:tabs>
        <w:tab w:val="left" w:pos="709"/>
      </w:tabs>
      <w:spacing w:line="336" w:lineRule="auto"/>
    </w:pPr>
    <w:rPr>
      <w:rFonts w:ascii="VAG Rounded Std Thin" w:hAnsi="VAG Rounded Std Thin"/>
      <w:sz w:val="18"/>
    </w:rPr>
  </w:style>
  <w:style w:type="paragraph" w:styleId="Heading1">
    <w:name w:val="heading 1"/>
    <w:basedOn w:val="Normal"/>
    <w:next w:val="Normal"/>
    <w:qFormat/>
    <w:rsid w:val="003B2B13"/>
    <w:pPr>
      <w:keepNext/>
      <w:spacing w:before="240" w:after="60"/>
      <w:outlineLvl w:val="0"/>
    </w:pPr>
    <w:rPr>
      <w:rFonts w:ascii="VAG Rounded Std Light" w:hAnsi="VAG Rounded Std Light"/>
      <w:color w:val="766455"/>
      <w:kern w:val="32"/>
      <w:sz w:val="24"/>
    </w:rPr>
  </w:style>
  <w:style w:type="paragraph" w:styleId="Heading2">
    <w:name w:val="heading 2"/>
    <w:basedOn w:val="Normal"/>
    <w:next w:val="Normal"/>
    <w:qFormat/>
    <w:rsid w:val="003B2B13"/>
    <w:pPr>
      <w:keepNext/>
      <w:spacing w:before="120" w:after="60"/>
      <w:outlineLvl w:val="1"/>
    </w:pPr>
    <w:rPr>
      <w:rFonts w:ascii="VAG Rounded Std Light" w:hAnsi="VAG Rounded Std Light"/>
      <w:color w:val="766455"/>
      <w:sz w:val="20"/>
    </w:rPr>
  </w:style>
  <w:style w:type="paragraph" w:styleId="Heading3">
    <w:name w:val="heading 3"/>
    <w:basedOn w:val="Normal"/>
    <w:next w:val="Normal"/>
    <w:qFormat/>
    <w:rsid w:val="003B2B13"/>
    <w:pPr>
      <w:keepNext/>
      <w:outlineLvl w:val="2"/>
    </w:pPr>
    <w:rPr>
      <w:rFonts w:ascii="VAG Rounded Std Light" w:hAnsi="VAG Rounded Std Light"/>
      <w:color w:val="7664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2B13"/>
    <w:pPr>
      <w:tabs>
        <w:tab w:val="clear" w:pos="709"/>
        <w:tab w:val="left" w:pos="7796"/>
      </w:tabs>
      <w:ind w:left="-1418" w:right="-1418"/>
    </w:pPr>
    <w:rPr>
      <w:color w:val="F06C23"/>
      <w:sz w:val="14"/>
    </w:rPr>
  </w:style>
  <w:style w:type="paragraph" w:styleId="BodyText">
    <w:name w:val="Body Text"/>
    <w:basedOn w:val="Normal"/>
    <w:uiPriority w:val="1"/>
    <w:qFormat/>
    <w:rsid w:val="003B2B13"/>
    <w:pPr>
      <w:spacing w:after="240"/>
    </w:pPr>
  </w:style>
  <w:style w:type="paragraph" w:styleId="ListBullet">
    <w:name w:val="List Bullet"/>
    <w:basedOn w:val="BodyText"/>
    <w:pPr>
      <w:numPr>
        <w:numId w:val="1"/>
      </w:numPr>
      <w:tabs>
        <w:tab w:val="clear" w:pos="360"/>
        <w:tab w:val="clear" w:pos="709"/>
      </w:tabs>
      <w:ind w:left="709" w:hanging="709"/>
    </w:pPr>
  </w:style>
  <w:style w:type="paragraph" w:styleId="Footer">
    <w:name w:val="footer"/>
    <w:basedOn w:val="Normal"/>
    <w:link w:val="FooterChar"/>
    <w:uiPriority w:val="99"/>
    <w:rsid w:val="003B2B13"/>
    <w:pPr>
      <w:tabs>
        <w:tab w:val="clear" w:pos="709"/>
      </w:tabs>
      <w:spacing w:line="240" w:lineRule="auto"/>
      <w:jc w:val="center"/>
    </w:pPr>
    <w:rPr>
      <w:sz w:val="16"/>
    </w:rPr>
  </w:style>
  <w:style w:type="character" w:styleId="PageNumber">
    <w:name w:val="page number"/>
    <w:basedOn w:val="DefaultParagraphFont"/>
  </w:style>
  <w:style w:type="table" w:styleId="TableGrid">
    <w:name w:val="Table Grid"/>
    <w:basedOn w:val="TableNormal"/>
    <w:rsid w:val="003B2B13"/>
    <w:pPr>
      <w:tabs>
        <w:tab w:val="left" w:pos="709"/>
      </w:tabs>
      <w:spacing w:line="336" w:lineRule="auto"/>
    </w:pPr>
    <w:rPr>
      <w:rFonts w:ascii="VAG Rounded Std Thin" w:hAnsi="VAG Rounded Std Th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
    <w:pPr>
      <w:numPr>
        <w:numId w:val="2"/>
      </w:numPr>
      <w:tabs>
        <w:tab w:val="clear" w:pos="709"/>
      </w:tabs>
    </w:pPr>
  </w:style>
  <w:style w:type="paragraph" w:customStyle="1" w:styleId="Table">
    <w:name w:val="Table"/>
    <w:basedOn w:val="Normal"/>
    <w:pPr>
      <w:spacing w:before="60"/>
    </w:pPr>
  </w:style>
  <w:style w:type="paragraph" w:styleId="BalloonText">
    <w:name w:val="Balloon Text"/>
    <w:basedOn w:val="Normal"/>
    <w:link w:val="BalloonTextChar"/>
    <w:uiPriority w:val="99"/>
    <w:semiHidden/>
    <w:unhideWhenUsed/>
    <w:rsid w:val="007E7718"/>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7E7718"/>
    <w:rPr>
      <w:rFonts w:ascii="Lucida Grande" w:hAnsi="Lucida Grande" w:cs="Lucida Grande"/>
      <w:sz w:val="18"/>
      <w:szCs w:val="18"/>
    </w:rPr>
  </w:style>
  <w:style w:type="paragraph" w:styleId="ListParagraph">
    <w:name w:val="List Paragraph"/>
    <w:basedOn w:val="Normal"/>
    <w:uiPriority w:val="1"/>
    <w:qFormat/>
    <w:rsid w:val="007E7718"/>
    <w:pPr>
      <w:tabs>
        <w:tab w:val="clear" w:pos="709"/>
      </w:tabs>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4D1281"/>
    <w:pPr>
      <w:widowControl w:val="0"/>
      <w:tabs>
        <w:tab w:val="clear" w:pos="709"/>
      </w:tabs>
      <w:autoSpaceDE w:val="0"/>
      <w:autoSpaceDN w:val="0"/>
      <w:spacing w:line="229" w:lineRule="exact"/>
      <w:ind w:left="114"/>
    </w:pPr>
    <w:rPr>
      <w:rFonts w:ascii="VAGRoundedStd-Thin" w:eastAsia="VAGRoundedStd-Thin" w:hAnsi="VAGRoundedStd-Thin" w:cs="VAGRoundedStd-Thin"/>
      <w:sz w:val="22"/>
      <w:szCs w:val="22"/>
      <w:lang w:val="en-US"/>
    </w:rPr>
  </w:style>
  <w:style w:type="paragraph" w:styleId="Revision">
    <w:name w:val="Revision"/>
    <w:hidden/>
    <w:uiPriority w:val="99"/>
    <w:semiHidden/>
    <w:rsid w:val="004D61DC"/>
    <w:rPr>
      <w:rFonts w:ascii="VAG Rounded Std Thin" w:hAnsi="VAG Rounded Std Thin"/>
      <w:sz w:val="18"/>
    </w:rPr>
  </w:style>
  <w:style w:type="character" w:customStyle="1" w:styleId="FooterChar">
    <w:name w:val="Footer Char"/>
    <w:basedOn w:val="DefaultParagraphFont"/>
    <w:link w:val="Footer"/>
    <w:uiPriority w:val="99"/>
    <w:rsid w:val="009B39BE"/>
    <w:rPr>
      <w:rFonts w:ascii="VAG Rounded Std Thin" w:hAnsi="VAG Rounded Std Thin"/>
      <w:sz w:val="16"/>
    </w:rPr>
  </w:style>
  <w:style w:type="character" w:styleId="CommentReference">
    <w:name w:val="annotation reference"/>
    <w:basedOn w:val="DefaultParagraphFont"/>
    <w:uiPriority w:val="99"/>
    <w:semiHidden/>
    <w:unhideWhenUsed/>
    <w:rsid w:val="009B29EF"/>
    <w:rPr>
      <w:sz w:val="16"/>
      <w:szCs w:val="16"/>
    </w:rPr>
  </w:style>
  <w:style w:type="paragraph" w:styleId="CommentText">
    <w:name w:val="annotation text"/>
    <w:basedOn w:val="Normal"/>
    <w:link w:val="CommentTextChar"/>
    <w:uiPriority w:val="99"/>
    <w:unhideWhenUsed/>
    <w:rsid w:val="009B29EF"/>
    <w:pPr>
      <w:spacing w:line="240" w:lineRule="auto"/>
    </w:pPr>
    <w:rPr>
      <w:sz w:val="20"/>
    </w:rPr>
  </w:style>
  <w:style w:type="character" w:customStyle="1" w:styleId="CommentTextChar">
    <w:name w:val="Comment Text Char"/>
    <w:basedOn w:val="DefaultParagraphFont"/>
    <w:link w:val="CommentText"/>
    <w:uiPriority w:val="99"/>
    <w:rsid w:val="009B29EF"/>
    <w:rPr>
      <w:rFonts w:ascii="VAG Rounded Std Thin" w:hAnsi="VAG Rounded Std Thin"/>
    </w:rPr>
  </w:style>
  <w:style w:type="paragraph" w:styleId="CommentSubject">
    <w:name w:val="annotation subject"/>
    <w:basedOn w:val="CommentText"/>
    <w:next w:val="CommentText"/>
    <w:link w:val="CommentSubjectChar"/>
    <w:uiPriority w:val="99"/>
    <w:semiHidden/>
    <w:unhideWhenUsed/>
    <w:rsid w:val="009B29EF"/>
    <w:rPr>
      <w:b/>
      <w:bCs/>
    </w:rPr>
  </w:style>
  <w:style w:type="character" w:customStyle="1" w:styleId="CommentSubjectChar">
    <w:name w:val="Comment Subject Char"/>
    <w:basedOn w:val="CommentTextChar"/>
    <w:link w:val="CommentSubject"/>
    <w:uiPriority w:val="99"/>
    <w:semiHidden/>
    <w:rsid w:val="009B29EF"/>
    <w:rPr>
      <w:rFonts w:ascii="VAG Rounded Std Thin" w:hAnsi="VAG Rounded Std Thin"/>
      <w:b/>
      <w:bCs/>
    </w:rPr>
  </w:style>
  <w:style w:type="character" w:styleId="Hyperlink">
    <w:name w:val="Hyperlink"/>
    <w:basedOn w:val="DefaultParagraphFont"/>
    <w:uiPriority w:val="99"/>
    <w:unhideWhenUsed/>
    <w:rsid w:val="00DA74EB"/>
    <w:rPr>
      <w:color w:val="6F6B58" w:themeColor="hyperlink"/>
      <w:u w:val="single"/>
    </w:rPr>
  </w:style>
  <w:style w:type="character" w:styleId="UnresolvedMention">
    <w:name w:val="Unresolved Mention"/>
    <w:basedOn w:val="DefaultParagraphFont"/>
    <w:uiPriority w:val="99"/>
    <w:semiHidden/>
    <w:unhideWhenUsed/>
    <w:rsid w:val="00DA74EB"/>
    <w:rPr>
      <w:color w:val="605E5C"/>
      <w:shd w:val="clear" w:color="auto" w:fill="E1DFDD"/>
    </w:rPr>
  </w:style>
  <w:style w:type="paragraph" w:styleId="NormalWeb">
    <w:name w:val="Normal (Web)"/>
    <w:basedOn w:val="Normal"/>
    <w:uiPriority w:val="99"/>
    <w:unhideWhenUsed/>
    <w:rsid w:val="00A93126"/>
    <w:pPr>
      <w:tabs>
        <w:tab w:val="clear" w:pos="709"/>
      </w:tabs>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A93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1717">
      <w:bodyDiv w:val="1"/>
      <w:marLeft w:val="0"/>
      <w:marRight w:val="0"/>
      <w:marTop w:val="0"/>
      <w:marBottom w:val="0"/>
      <w:divBdr>
        <w:top w:val="none" w:sz="0" w:space="0" w:color="auto"/>
        <w:left w:val="none" w:sz="0" w:space="0" w:color="auto"/>
        <w:bottom w:val="none" w:sz="0" w:space="0" w:color="auto"/>
        <w:right w:val="none" w:sz="0" w:space="0" w:color="auto"/>
      </w:divBdr>
    </w:div>
    <w:div w:id="826214748">
      <w:bodyDiv w:val="1"/>
      <w:marLeft w:val="0"/>
      <w:marRight w:val="0"/>
      <w:marTop w:val="0"/>
      <w:marBottom w:val="0"/>
      <w:divBdr>
        <w:top w:val="none" w:sz="0" w:space="0" w:color="auto"/>
        <w:left w:val="none" w:sz="0" w:space="0" w:color="auto"/>
        <w:bottom w:val="none" w:sz="0" w:space="0" w:color="auto"/>
        <w:right w:val="none" w:sz="0" w:space="0" w:color="auto"/>
      </w:divBdr>
    </w:div>
    <w:div w:id="145131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hqpwfile02.nucleusfinancial.loc\Teams\Nucleus%20Share\08%20Communications\Templates\19%20Templates\Plain%20document_2017.dotx" TargetMode="External"/></Relationships>
</file>

<file path=word/theme/theme1.xml><?xml version="1.0" encoding="utf-8"?>
<a:theme xmlns:a="http://schemas.openxmlformats.org/drawingml/2006/main" name="Nucleus_Presentation_Template">
  <a:themeElements>
    <a:clrScheme name="Custom 1">
      <a:dk1>
        <a:srgbClr val="70655D"/>
      </a:dk1>
      <a:lt1>
        <a:srgbClr val="FFFFFF"/>
      </a:lt1>
      <a:dk2>
        <a:srgbClr val="FF6600"/>
      </a:dk2>
      <a:lt2>
        <a:srgbClr val="FFFFFF"/>
      </a:lt2>
      <a:accent1>
        <a:srgbClr val="FFFFFF"/>
      </a:accent1>
      <a:accent2>
        <a:srgbClr val="AAA48D"/>
      </a:accent2>
      <a:accent3>
        <a:srgbClr val="EFA760"/>
      </a:accent3>
      <a:accent4>
        <a:srgbClr val="87826B"/>
      </a:accent4>
      <a:accent5>
        <a:srgbClr val="FFFFFF"/>
      </a:accent5>
      <a:accent6>
        <a:srgbClr val="F8D09F"/>
      </a:accent6>
      <a:hlink>
        <a:srgbClr val="6F6B58"/>
      </a:hlink>
      <a:folHlink>
        <a:srgbClr val="F8CE9C"/>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cmpd="sng">
          <a:solidFill>
            <a:srgbClr val="FF6600"/>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AA32-251C-4406-BF6B-9ACF5AE1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 document_2017</Template>
  <TotalTime>12</TotalTime>
  <Pages>2</Pages>
  <Words>658</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5 September 2006</vt:lpstr>
    </vt:vector>
  </TitlesOfParts>
  <Company>the abacus</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September 2006</dc:title>
  <dc:subject/>
  <dc:creator>Microsoft Office User</dc:creator>
  <cp:keywords/>
  <cp:lastModifiedBy>Clare Brine</cp:lastModifiedBy>
  <cp:revision>11</cp:revision>
  <cp:lastPrinted>2013-10-03T13:46:00Z</cp:lastPrinted>
  <dcterms:created xsi:type="dcterms:W3CDTF">2026-01-07T15:34:00Z</dcterms:created>
  <dcterms:modified xsi:type="dcterms:W3CDTF">2026-01-07T15:49:00Z</dcterms:modified>
</cp:coreProperties>
</file>